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2899.xml.htm"/>
      <w:bookmarkStart w:id="1" w:name="kswkform4_17924428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Hicks Bowman Angela R.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ANGI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3601 WALNUT STREET, SUITE 700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DENVER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Angi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ANGI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32,038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Stock, par value $0.001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711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6.46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31,327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Stock, par value $0.001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Class A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On October 15, 2024, the reporting person was granted 100,000 restricted stock units (on a pre-reverse stock split basis), vesting in four equal annual installments beginning on the first anniversary of the grant date, subject to continued service.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Shannon M. Shaw, as Attorney-in-Fact for Angela R. Hicks Bowman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4094" TargetMode="External"/><Relationship Id="rId5" Type="http://schemas.openxmlformats.org/officeDocument/2006/relationships/hyperlink" Target="http://www.sec.gov/cgi-bin/browse-edgar?action=getcompany&amp;CIK=00017051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664</Words>
  <Characters>3543</Characters>
  <CharactersWithSpaces>4118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