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5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555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IAC/INTERACTIVECORP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WEST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ANGI Homeservices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ANGI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03/31/2019</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p>
      <w:pPr>
        <w:ind w:left="542"/>
        <w:spacing w:after="0"/>
        <w:tabs>
          <w:tab w:leader="none" w:pos="1821" w:val="left"/>
          <w:tab w:leader="none" w:pos="216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6"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2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2"/>
              <w:spacing w:after="0"/>
              <w:rPr>
                <w:sz w:val="20"/>
                <w:szCs w:val="20"/>
                <w:color w:val="auto"/>
              </w:rPr>
            </w:pPr>
            <w:r>
              <w:rPr>
                <w:rFonts w:ascii="Arial" w:cs="Arial" w:eastAsia="Arial" w:hAnsi="Arial"/>
                <w:sz w:val="17"/>
                <w:szCs w:val="17"/>
                <w:color w:val="0000FF"/>
                <w:w w:val="87"/>
              </w:rPr>
              <w:t>264,959</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00" w:type="dxa"/>
            <w:vAlign w:val="bottom"/>
          </w:tcPr>
          <w:p>
            <w:pPr>
              <w:ind w:left="60"/>
              <w:spacing w:after="0"/>
              <w:rPr>
                <w:sz w:val="20"/>
                <w:szCs w:val="20"/>
                <w:color w:val="auto"/>
              </w:rPr>
            </w:pPr>
            <w:r>
              <w:rPr>
                <w:rFonts w:ascii="Arial" w:cs="Arial" w:eastAsia="Arial" w:hAnsi="Arial"/>
                <w:sz w:val="13"/>
                <w:szCs w:val="13"/>
                <w:color w:val="0000FF"/>
              </w:rPr>
              <w:t>Stock, par</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03/31/2019</w:t>
            </w:r>
          </w:p>
        </w:tc>
        <w:tc>
          <w:tcPr>
            <w:tcW w:w="1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40" w:type="dxa"/>
            <w:vAlign w:val="bottom"/>
          </w:tcPr>
          <w:p>
            <w:pPr>
              <w:jc w:val="right"/>
              <w:ind w:right="79"/>
              <w:spacing w:after="0"/>
              <w:rPr>
                <w:sz w:val="20"/>
                <w:szCs w:val="20"/>
                <w:color w:val="auto"/>
              </w:rPr>
            </w:pPr>
            <w:r>
              <w:rPr>
                <w:rFonts w:ascii="Arial" w:cs="Arial" w:eastAsia="Arial" w:hAnsi="Arial"/>
                <w:sz w:val="13"/>
                <w:szCs w:val="13"/>
                <w:color w:val="0000FF"/>
              </w:rPr>
              <w:t>264,959</w:t>
            </w:r>
          </w:p>
        </w:tc>
        <w:tc>
          <w:tcPr>
            <w:tcW w:w="240" w:type="dxa"/>
            <w:vAlign w:val="bottom"/>
          </w:tcPr>
          <w:p>
            <w:pPr>
              <w:spacing w:after="0"/>
              <w:rPr>
                <w:sz w:val="13"/>
                <w:szCs w:val="13"/>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Stock,</w:t>
            </w:r>
          </w:p>
        </w:tc>
        <w:tc>
          <w:tcPr>
            <w:tcW w:w="640" w:type="dxa"/>
            <w:vAlign w:val="bottom"/>
            <w:vMerge w:val="continue"/>
          </w:tcPr>
          <w:p>
            <w:pPr>
              <w:spacing w:after="0"/>
              <w:rPr>
                <w:sz w:val="13"/>
                <w:szCs w:val="13"/>
                <w:color w:val="auto"/>
              </w:rPr>
            </w:pPr>
          </w:p>
        </w:tc>
        <w:tc>
          <w:tcPr>
            <w:tcW w:w="700" w:type="dxa"/>
            <w:vAlign w:val="bottom"/>
          </w:tcPr>
          <w:p>
            <w:pPr>
              <w:jc w:val="center"/>
              <w:ind w:righ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17.06</w:t>
            </w:r>
          </w:p>
        </w:tc>
        <w:tc>
          <w:tcPr>
            <w:tcW w:w="960" w:type="dxa"/>
            <w:vAlign w:val="bottom"/>
          </w:tcPr>
          <w:p>
            <w:pPr>
              <w:ind w:left="160"/>
              <w:spacing w:after="0"/>
              <w:rPr>
                <w:sz w:val="20"/>
                <w:szCs w:val="20"/>
                <w:color w:val="auto"/>
              </w:rPr>
            </w:pPr>
            <w:r>
              <w:rPr>
                <w:rFonts w:ascii="Arial" w:cs="Arial" w:eastAsia="Arial" w:hAnsi="Arial"/>
                <w:sz w:val="13"/>
                <w:szCs w:val="13"/>
                <w:color w:val="0000FF"/>
              </w:rPr>
              <w:t>422,383,060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3"/>
                <w:szCs w:val="13"/>
                <w:color w:val="0000FF"/>
              </w:rPr>
              <w:t>value</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3"/>
                <w:szCs w:val="13"/>
                <w:color w:val="0000FF"/>
              </w:rPr>
              <w:t>par value</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700" w:type="dxa"/>
            <w:vAlign w:val="bottom"/>
            <w:tcBorders>
              <w:bottom w:val="single" w:sz="8" w:color="2C2C2C"/>
            </w:tcBorders>
          </w:tcPr>
          <w:p>
            <w:pPr>
              <w:ind w:left="60"/>
              <w:spacing w:after="0" w:line="239" w:lineRule="exact"/>
              <w:rPr>
                <w:sz w:val="20"/>
                <w:szCs w:val="20"/>
                <w:color w:val="auto"/>
              </w:rPr>
            </w:pPr>
            <w:r>
              <w:rPr>
                <w:rFonts w:ascii="Arial" w:cs="Arial" w:eastAsia="Arial" w:hAnsi="Arial"/>
                <w:sz w:val="13"/>
                <w:szCs w:val="13"/>
                <w:color w:val="0000FF"/>
              </w:rPr>
              <w:t>$0.001</w:t>
            </w:r>
            <w:r>
              <w:rPr>
                <w:rFonts w:ascii="Arial" w:cs="Arial" w:eastAsia="Arial" w:hAnsi="Arial"/>
                <w:sz w:val="22"/>
                <w:szCs w:val="22"/>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$0.001</w:t>
            </w:r>
          </w:p>
        </w:tc>
        <w:tc>
          <w:tcPr>
            <w:tcW w:w="6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2"/>
              <w:spacing w:after="0"/>
              <w:rPr>
                <w:sz w:val="20"/>
                <w:szCs w:val="20"/>
                <w:color w:val="auto"/>
              </w:rPr>
            </w:pPr>
            <w:r>
              <w:rPr>
                <w:rFonts w:ascii="Arial" w:cs="Arial" w:eastAsia="Arial" w:hAnsi="Arial"/>
                <w:sz w:val="17"/>
                <w:szCs w:val="17"/>
                <w:color w:val="0000FF"/>
                <w:w w:val="96"/>
              </w:rPr>
              <w:t>69,426</w:t>
            </w:r>
          </w:p>
        </w:tc>
        <w:tc>
          <w:tcPr>
            <w:tcW w:w="700" w:type="dxa"/>
            <w:vAlign w:val="bottom"/>
            <w:vMerge w:val="restart"/>
          </w:tcPr>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16.46</w:t>
            </w:r>
            <w:r>
              <w:rPr>
                <w:rFonts w:ascii="Arial" w:cs="Arial" w:eastAsia="Arial" w:hAnsi="Arial"/>
                <w:sz w:val="22"/>
                <w:szCs w:val="22"/>
                <w:color w:val="008000"/>
                <w:vertAlign w:val="superscript"/>
              </w:rPr>
              <w:t>(3)</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00" w:type="dxa"/>
            <w:vAlign w:val="bottom"/>
          </w:tcPr>
          <w:p>
            <w:pPr>
              <w:ind w:left="60"/>
              <w:spacing w:after="0"/>
              <w:rPr>
                <w:sz w:val="20"/>
                <w:szCs w:val="20"/>
                <w:color w:val="auto"/>
              </w:rPr>
            </w:pPr>
            <w:r>
              <w:rPr>
                <w:rFonts w:ascii="Arial" w:cs="Arial" w:eastAsia="Arial" w:hAnsi="Arial"/>
                <w:sz w:val="13"/>
                <w:szCs w:val="13"/>
                <w:color w:val="0000FF"/>
              </w:rPr>
              <w:t>Stock, par</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03/31/2019</w:t>
            </w:r>
          </w:p>
        </w:tc>
        <w:tc>
          <w:tcPr>
            <w:tcW w:w="1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40" w:type="dxa"/>
            <w:vAlign w:val="bottom"/>
          </w:tcPr>
          <w:p>
            <w:pPr>
              <w:jc w:val="right"/>
              <w:ind w:right="99"/>
              <w:spacing w:after="0"/>
              <w:rPr>
                <w:sz w:val="20"/>
                <w:szCs w:val="20"/>
                <w:color w:val="auto"/>
              </w:rPr>
            </w:pPr>
            <w:r>
              <w:rPr>
                <w:rFonts w:ascii="Arial" w:cs="Arial" w:eastAsia="Arial" w:hAnsi="Arial"/>
                <w:sz w:val="13"/>
                <w:szCs w:val="13"/>
                <w:color w:val="0000FF"/>
              </w:rPr>
              <w:t>69,426</w:t>
            </w:r>
          </w:p>
        </w:tc>
        <w:tc>
          <w:tcPr>
            <w:tcW w:w="240" w:type="dxa"/>
            <w:vAlign w:val="bottom"/>
          </w:tcPr>
          <w:p>
            <w:pPr>
              <w:spacing w:after="0"/>
              <w:rPr>
                <w:sz w:val="13"/>
                <w:szCs w:val="13"/>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3"/>
              </w:rPr>
              <w:t>Stock,</w:t>
            </w: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0000FF"/>
              </w:rPr>
              <w:t>422,452,486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3"/>
                <w:szCs w:val="13"/>
                <w:color w:val="0000FF"/>
              </w:rPr>
              <w:t>value</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3"/>
                <w:szCs w:val="13"/>
                <w:color w:val="0000FF"/>
              </w:rPr>
              <w:t>par value</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700" w:type="dxa"/>
            <w:vAlign w:val="bottom"/>
          </w:tcPr>
          <w:p>
            <w:pPr>
              <w:ind w:left="60"/>
              <w:spacing w:after="0"/>
              <w:rPr>
                <w:sz w:val="20"/>
                <w:szCs w:val="20"/>
                <w:color w:val="auto"/>
              </w:rPr>
            </w:pPr>
            <w:r>
              <w:rPr>
                <w:rFonts w:ascii="Arial" w:cs="Arial" w:eastAsia="Arial" w:hAnsi="Arial"/>
                <w:sz w:val="13"/>
                <w:szCs w:val="13"/>
                <w:color w:val="0000FF"/>
              </w:rPr>
              <w:t>$0.001</w:t>
            </w:r>
            <w:r>
              <w:rPr>
                <w:rFonts w:ascii="Arial" w:cs="Arial" w:eastAsia="Arial" w:hAnsi="Arial"/>
                <w:sz w:val="22"/>
                <w:szCs w:val="22"/>
                <w:color w:val="008000"/>
                <w:vertAlign w:val="superscript"/>
              </w:rPr>
              <w:t>(1)</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$0.001</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99"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Class B common stock of ANGI Homeservices Inc. ("ANGI") that are convertible at the option of the holder on a one-for-one basis into shares of ANGI Class A common stock at any time and do not have an expiration date. Each share of ANGI Class B common stock is entitled to ten votes per share and each share of ANGI Class A common stock is entitled to one vote per share.</w:t>
      </w:r>
    </w:p>
    <w:p>
      <w:pPr>
        <w:ind w:left="40" w:right="30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common stock issued to/acquired by IAC/InterActiveCorp ("IAC") as reimbursement for shares of IAC common stock issued in connection with the exercise of IAC stock options by ANGI employees pursuant to the Employee Matters Agreement, dated September 29, 2017, between IAC and ANGI.</w:t>
      </w:r>
    </w:p>
    <w:p>
      <w:pPr>
        <w:spacing w:after="0" w:line="20" w:lineRule="exact"/>
        <w:rPr>
          <w:rFonts w:ascii="Arial" w:cs="Arial" w:eastAsia="Arial" w:hAnsi="Arial"/>
          <w:sz w:val="13"/>
          <w:szCs w:val="13"/>
          <w:color w:val="008000"/>
        </w:rPr>
      </w:pPr>
    </w:p>
    <w:p>
      <w:pPr>
        <w:ind w:left="40" w:right="40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reflects a weighted average issuance price ranging from $16.38 to $16.46. The reporting person agrees to provide, upon request by the Staff of the Securities and Exchange Commission, ANGI or a security holder of ANGI, information regarding the number of shares issued at each separate price.</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Tanya M. Stanich, Assistant</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04/02/2019</w:t>
            </w:r>
          </w:p>
        </w:tc>
        <w:tc>
          <w:tcPr>
            <w:tcW w:w="0" w:type="dxa"/>
            <w:vAlign w:val="bottom"/>
          </w:tcPr>
          <w:p>
            <w:pPr>
              <w:spacing w:after="0"/>
              <w:rPr>
                <w:sz w:val="1"/>
                <w:szCs w:val="1"/>
                <w:color w:val="auto"/>
              </w:rPr>
            </w:pPr>
          </w:p>
        </w:tc>
      </w:tr>
      <w:tr>
        <w:trPr>
          <w:trHeight w:val="91"/>
        </w:trPr>
        <w:tc>
          <w:tcPr>
            <w:tcW w:w="66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7"/>
              </w:rPr>
              <w:t>Secretary</w:t>
            </w:r>
          </w:p>
        </w:tc>
        <w:tc>
          <w:tcPr>
            <w:tcW w:w="1280" w:type="dxa"/>
            <w:vAlign w:val="bottom"/>
            <w:tcBorders>
              <w:top w:val="single" w:sz="8" w:color="auto"/>
              <w:bottom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60" w:type="dxa"/>
            <w:vAlign w:val="bottom"/>
            <w:tcBorders>
              <w:bottom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91103" TargetMode="External"/><Relationship Id="rId13"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2019-12-03T23:11:34Z</dcterms:created>
  <dcterms:modified xsi:type="dcterms:W3CDTF">2019-12-03T23:11:34Z</dcterms:modified>
</cp:coreProperties>
</file>