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597.xml.htm"/>
      <w:bookmarkStart w:id="1" w:name="kswkform4_1781295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Pickett Thomas Corning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 Inc.</w:t>
              </w:r>
            </w:hyperlink>
            <w:r>
              <w:rPr/>
              <w:t xml:space="preserve"> [ </w:t>
            </w:r>
            <w:r>
              <w:rPr>
                <w:rFonts w:ascii="Times;serif" w:hAnsi="Times;serif"/>
                <w:color w:val="0000FF"/>
                <w:sz w:val="24"/>
                <w:shd w:fill="FFFFFF" w:val="clear"/>
              </w:rPr>
              <w:t>ANGI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43,936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 par value $0.001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43,936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in three equal annual installments beginning on the first anniversary of the grant date, subject to continued service through each vesting date. Pursuant to the reporting person's deferral election, any vested RSUs will be settled in a lump sum following termination of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Shannon M. Shaw as Attorney-in-Fact for Thomas C. Pickett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8277" TargetMode="External"/><Relationship Id="rId5" Type="http://schemas.openxmlformats.org/officeDocument/2006/relationships/hyperlink" Target="http://www.sec.gov/cgi-bin/browse-edgar?action=getcompany&amp;CIK=00017051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3476</Characters>
  <CharactersWithSpaces>4058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