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Smith Craig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09/29/2017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ANGI Homeservices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ANGI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00"/>
          </w:cols>
          <w:pgMar w:left="240" w:top="226" w:right="25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ANGI HOMESERVICES INC.</w:t>
      </w:r>
    </w:p>
    <w:p>
      <w:pPr>
        <w:spacing w:after="0" w:line="86" w:lineRule="exact"/>
        <w:rPr>
          <w:sz w:val="24"/>
          <w:szCs w:val="24"/>
          <w:color w:val="auto"/>
        </w:rPr>
      </w:pPr>
    </w:p>
    <w:p>
      <w:pPr>
        <w:ind w:left="120" w:right="1734"/>
        <w:spacing w:after="0" w:line="268" w:lineRule="auto"/>
        <w:rPr>
          <w:sz w:val="20"/>
          <w:szCs w:val="20"/>
          <w:color w:val="auto"/>
        </w:rPr>
      </w:pPr>
      <w:r>
        <w:rPr>
          <w:rFonts w:ascii="Arial" w:cs="Arial" w:eastAsia="Arial" w:hAnsi="Arial"/>
          <w:sz w:val="18"/>
          <w:szCs w:val="18"/>
          <w:color w:val="0000FF"/>
        </w:rPr>
        <w:t>14023 DENVER WEST PARKWAY, BUILDING 64</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88"/>
              </w:rPr>
              <w:t>GOLDENCO</w:t>
            </w:r>
          </w:p>
        </w:tc>
        <w:tc>
          <w:tcPr>
            <w:tcW w:w="840" w:type="dxa"/>
            <w:vAlign w:val="bottom"/>
          </w:tcPr>
          <w:p>
            <w:pPr>
              <w:jc w:val="right"/>
              <w:spacing w:after="0"/>
              <w:rPr>
                <w:sz w:val="20"/>
                <w:szCs w:val="20"/>
                <w:color w:val="auto"/>
              </w:rPr>
            </w:pPr>
            <w:r>
              <w:rPr>
                <w:rFonts w:ascii="Arial" w:cs="Arial" w:eastAsia="Arial" w:hAnsi="Arial"/>
                <w:sz w:val="18"/>
                <w:szCs w:val="18"/>
                <w:color w:val="0000FF"/>
              </w:rPr>
              <w:t>80401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6"/>
        <w:spacing w:after="0"/>
        <w:rPr>
          <w:sz w:val="20"/>
          <w:szCs w:val="20"/>
          <w:color w:val="auto"/>
        </w:rPr>
      </w:pPr>
      <w:r>
        <w:rPr>
          <w:rFonts w:ascii="Arial" w:cs="Arial" w:eastAsia="Arial" w:hAnsi="Arial"/>
          <w:sz w:val="18"/>
          <w:szCs w:val="18"/>
          <w:color w:val="0000FF"/>
        </w:rPr>
        <w:t>President &amp; COO</w:t>
      </w:r>
    </w:p>
    <w:p>
      <w:pPr>
        <w:spacing w:after="0" w:line="20" w:lineRule="exact"/>
        <w:rPr>
          <w:sz w:val="24"/>
          <w:szCs w:val="24"/>
          <w:color w:val="auto"/>
        </w:rPr>
      </w:pPr>
      <w:r>
        <w:rPr>
          <w:sz w:val="24"/>
          <w:szCs w:val="24"/>
          <w:color w:val="auto"/>
        </w:rPr>
        <w:br w:type="column"/>
      </w:r>
    </w:p>
    <w:p>
      <w:pPr>
        <w:ind w:left="3" w:right="46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6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2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03"/>
          </w:cols>
          <w:pgMar w:left="240" w:top="226" w:right="25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33" w:lineRule="exact"/>
        <w:rPr>
          <w:sz w:val="24"/>
          <w:szCs w:val="24"/>
          <w:color w:val="auto"/>
        </w:rPr>
      </w:pPr>
    </w:p>
    <w:p>
      <w:pPr>
        <w:ind w:left="80"/>
        <w:spacing w:after="0"/>
        <w:tabs>
          <w:tab w:leader="none" w:pos="5080" w:val="left"/>
          <w:tab w:leader="none" w:pos="7260" w:val="left"/>
          <w:tab w:leader="none" w:pos="8500" w:val="left"/>
        </w:tabs>
        <w:rPr>
          <w:sz w:val="20"/>
          <w:szCs w:val="20"/>
          <w:color w:val="auto"/>
        </w:rPr>
      </w:pPr>
      <w:r>
        <w:rPr>
          <w:rFonts w:ascii="Arial" w:cs="Arial" w:eastAsia="Arial" w:hAnsi="Arial"/>
          <w:sz w:val="14"/>
          <w:szCs w:val="14"/>
          <w:b w:val="1"/>
          <w:bCs w:val="1"/>
          <w:color w:val="auto"/>
        </w:rPr>
        <w:t>1. Title of Security (Instr. 4)</w:t>
      </w:r>
      <w:r>
        <w:rPr>
          <w:sz w:val="20"/>
          <w:szCs w:val="20"/>
          <w:color w:val="auto"/>
        </w:rPr>
        <w:tab/>
      </w:r>
      <w:r>
        <w:rPr>
          <w:rFonts w:ascii="Arial" w:cs="Arial" w:eastAsia="Arial" w:hAnsi="Arial"/>
          <w:sz w:val="14"/>
          <w:szCs w:val="14"/>
          <w:b w:val="1"/>
          <w:bCs w:val="1"/>
          <w:color w:val="auto"/>
        </w:rPr>
        <w:t>2. Amount of Securities</w:t>
      </w:r>
      <w:r>
        <w:rPr>
          <w:sz w:val="20"/>
          <w:szCs w:val="20"/>
          <w:color w:val="auto"/>
        </w:rPr>
        <w:tab/>
      </w:r>
      <w:r>
        <w:rPr>
          <w:rFonts w:ascii="Arial" w:cs="Arial" w:eastAsia="Arial" w:hAnsi="Arial"/>
          <w:sz w:val="14"/>
          <w:szCs w:val="14"/>
          <w:b w:val="1"/>
          <w:bCs w:val="1"/>
          <w:color w:val="auto"/>
        </w:rPr>
        <w:t>3. Ownership</w:t>
      </w:r>
      <w:r>
        <w:rPr>
          <w:sz w:val="20"/>
          <w:szCs w:val="20"/>
          <w:color w:val="auto"/>
        </w:rPr>
        <w:tab/>
      </w:r>
      <w:r>
        <w:rPr>
          <w:rFonts w:ascii="Arial" w:cs="Arial" w:eastAsia="Arial" w:hAnsi="Arial"/>
          <w:sz w:val="12"/>
          <w:szCs w:val="12"/>
          <w:b w:val="1"/>
          <w:bCs w:val="1"/>
          <w:color w:val="auto"/>
        </w:rPr>
        <w:t>4. Nature of Indirect Beneficial Ownership</w:t>
      </w:r>
    </w:p>
    <w:p>
      <w:pPr>
        <w:jc w:val="right"/>
        <w:ind w:right="2360"/>
        <w:spacing w:after="0"/>
        <w:tabs>
          <w:tab w:leader="none" w:pos="3900" w:val="left"/>
          <w:tab w:leader="none" w:pos="2660" w:val="left"/>
        </w:tabs>
        <w:rPr>
          <w:sz w:val="20"/>
          <w:szCs w:val="20"/>
          <w:color w:val="auto"/>
        </w:rPr>
      </w:pPr>
      <w:r>
        <w:rPr>
          <w:rFonts w:ascii="Arial" w:cs="Arial" w:eastAsia="Arial" w:hAnsi="Arial"/>
          <w:sz w:val="14"/>
          <w:szCs w:val="14"/>
          <w:b w:val="1"/>
          <w:bCs w:val="1"/>
          <w:color w:val="auto"/>
        </w:rPr>
        <w:t>Beneficially Owned (Instr. 4)</w:t>
      </w:r>
      <w:r>
        <w:rPr>
          <w:sz w:val="20"/>
          <w:szCs w:val="20"/>
          <w:color w:val="auto"/>
        </w:rPr>
        <w:tab/>
      </w:r>
      <w:r>
        <w:rPr>
          <w:rFonts w:ascii="Arial" w:cs="Arial" w:eastAsia="Arial" w:hAnsi="Arial"/>
          <w:sz w:val="14"/>
          <w:szCs w:val="14"/>
          <w:b w:val="1"/>
          <w:bCs w:val="1"/>
          <w:color w:val="auto"/>
        </w:rPr>
        <w:t>Form: Direct (D)</w:t>
      </w:r>
      <w:r>
        <w:rPr>
          <w:sz w:val="20"/>
          <w:szCs w:val="20"/>
          <w:color w:val="auto"/>
        </w:rPr>
        <w:tab/>
      </w:r>
      <w:r>
        <w:rPr>
          <w:rFonts w:ascii="Arial" w:cs="Arial" w:eastAsia="Arial" w:hAnsi="Arial"/>
          <w:sz w:val="12"/>
          <w:szCs w:val="12"/>
          <w:b w:val="1"/>
          <w:bCs w:val="1"/>
          <w:color w:val="auto"/>
        </w:rPr>
        <w:t>(Instr. 5)</w:t>
      </w:r>
    </w:p>
    <w:p>
      <w:pPr>
        <w:ind w:left="7280"/>
        <w:spacing w:after="0" w:line="222" w:lineRule="auto"/>
        <w:rPr>
          <w:sz w:val="20"/>
          <w:szCs w:val="20"/>
          <w:color w:val="auto"/>
        </w:rPr>
      </w:pPr>
      <w:r>
        <w:rPr>
          <w:rFonts w:ascii="Arial" w:cs="Arial" w:eastAsia="Arial" w:hAnsi="Arial"/>
          <w:sz w:val="14"/>
          <w:szCs w:val="14"/>
          <w:b w:val="1"/>
          <w:bCs w:val="1"/>
          <w:color w:val="auto"/>
        </w:rPr>
        <w:t>or Indirect (I)</w:t>
      </w:r>
    </w:p>
    <w:p>
      <w:pPr>
        <w:ind w:left="7280"/>
        <w:spacing w:after="0"/>
        <w:rPr>
          <w:sz w:val="20"/>
          <w:szCs w:val="20"/>
          <w:color w:val="auto"/>
        </w:rPr>
      </w:pPr>
      <w:r>
        <w:rPr>
          <w:rFonts w:ascii="Arial" w:cs="Arial" w:eastAsia="Arial" w:hAnsi="Arial"/>
          <w:sz w:val="14"/>
          <w:szCs w:val="14"/>
          <w:b w:val="1"/>
          <w:bCs w:val="1"/>
          <w:color w:val="auto"/>
        </w:rPr>
        <w:t>(Instr. 5)</w:t>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00"/>
          </w:cols>
          <w:pgMar w:left="240" w:top="226" w:right="259" w:bottom="1440" w:gutter="0" w:footer="0" w:header="0"/>
          <w:type w:val="continuous"/>
        </w:sectPr>
      </w:pP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36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100"/>
              <w:spacing w:after="0"/>
              <w:rPr>
                <w:sz w:val="20"/>
                <w:szCs w:val="20"/>
                <w:color w:val="auto"/>
              </w:rPr>
            </w:pPr>
            <w:r>
              <w:rPr>
                <w:rFonts w:ascii="Arial" w:cs="Arial" w:eastAsia="Arial" w:hAnsi="Arial"/>
                <w:sz w:val="14"/>
                <w:szCs w:val="14"/>
                <w:b w:val="1"/>
                <w:bCs w:val="1"/>
                <w:color w:val="auto"/>
              </w:rPr>
              <w:t>3. Title and Amount of Securities</w:t>
            </w:r>
          </w:p>
        </w:tc>
      </w:tr>
      <w:tr>
        <w:trPr>
          <w:trHeight w:val="149"/>
        </w:trPr>
        <w:tc>
          <w:tcPr>
            <w:tcW w:w="336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r>
      <w:tr>
        <w:trPr>
          <w:trHeight w:val="178"/>
        </w:trPr>
        <w:tc>
          <w:tcPr>
            <w:tcW w:w="33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48"/>
        </w:trPr>
        <w:tc>
          <w:tcPr>
            <w:tcW w:w="33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r>
      <w:tr>
        <w:trPr>
          <w:trHeight w:val="186"/>
        </w:trPr>
        <w:tc>
          <w:tcPr>
            <w:tcW w:w="3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ind w:left="860"/>
              <w:spacing w:after="0"/>
              <w:rPr>
                <w:sz w:val="20"/>
                <w:szCs w:val="20"/>
                <w:color w:val="auto"/>
              </w:rPr>
            </w:pPr>
            <w:r>
              <w:rPr>
                <w:rFonts w:ascii="Arial" w:cs="Arial" w:eastAsia="Arial" w:hAnsi="Arial"/>
                <w:sz w:val="14"/>
                <w:szCs w:val="14"/>
                <w:b w:val="1"/>
                <w:bCs w:val="1"/>
                <w:color w:val="auto"/>
              </w:rPr>
              <w:t>Amount or</w:t>
            </w:r>
          </w:p>
        </w:tc>
      </w:tr>
      <w:tr>
        <w:trPr>
          <w:trHeight w:val="149"/>
        </w:trPr>
        <w:tc>
          <w:tcPr>
            <w:tcW w:w="3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640" w:type="dxa"/>
            <w:vAlign w:val="bottom"/>
          </w:tcPr>
          <w:p>
            <w:pPr>
              <w:ind w:left="860"/>
              <w:spacing w:after="0" w:line="149" w:lineRule="exact"/>
              <w:rPr>
                <w:sz w:val="20"/>
                <w:szCs w:val="20"/>
                <w:color w:val="auto"/>
              </w:rPr>
            </w:pPr>
            <w:r>
              <w:rPr>
                <w:rFonts w:ascii="Arial" w:cs="Arial" w:eastAsia="Arial" w:hAnsi="Arial"/>
                <w:sz w:val="14"/>
                <w:szCs w:val="14"/>
                <w:b w:val="1"/>
                <w:bCs w:val="1"/>
                <w:color w:val="auto"/>
              </w:rPr>
              <w:t>Number of</w:t>
            </w:r>
          </w:p>
        </w:tc>
      </w:tr>
      <w:tr>
        <w:trPr>
          <w:trHeight w:val="178"/>
        </w:trPr>
        <w:tc>
          <w:tcPr>
            <w:tcW w:w="3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Title</w:t>
            </w:r>
          </w:p>
        </w:tc>
        <w:tc>
          <w:tcPr>
            <w:tcW w:w="1640" w:type="dxa"/>
            <w:vAlign w:val="bottom"/>
          </w:tcPr>
          <w:p>
            <w:pPr>
              <w:ind w:left="860"/>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900" w:hanging="895"/>
        <w:spacing w:after="0"/>
        <w:tabs>
          <w:tab w:leader="none" w:pos="90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5.</w:t>
      </w:r>
      <w:r>
        <w:rPr>
          <w:rFonts w:ascii="Arial" w:cs="Arial" w:eastAsia="Arial" w:hAnsi="Arial"/>
          <w:sz w:val="12"/>
          <w:szCs w:val="12"/>
          <w:b w:val="1"/>
          <w:bCs w:val="1"/>
          <w:color w:val="auto"/>
        </w:rPr>
        <w:t>6. Nature of Indirect</w:t>
      </w:r>
    </w:p>
    <w:tbl>
      <w:tblPr>
        <w:tblLayout w:type="fixed"/>
        <w:tblInd w:w="0" w:type="dxa"/>
        <w:tblCellMar>
          <w:top w:w="0" w:type="dxa"/>
          <w:left w:w="0" w:type="dxa"/>
          <w:bottom w:w="0" w:type="dxa"/>
          <w:right w:w="0" w:type="dxa"/>
        </w:tblCellMar>
      </w:tblPr>
      <w:tr>
        <w:trPr>
          <w:trHeight w:val="136"/>
        </w:trPr>
        <w:tc>
          <w:tcPr>
            <w:tcW w:w="820" w:type="dxa"/>
            <w:vAlign w:val="bottom"/>
          </w:tcPr>
          <w:p>
            <w:pPr>
              <w:spacing w:after="0" w:line="136"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36"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36" w:lineRule="exact"/>
              <w:rPr>
                <w:sz w:val="20"/>
                <w:szCs w:val="20"/>
                <w:color w:val="auto"/>
              </w:rPr>
            </w:pPr>
            <w:r>
              <w:rPr>
                <w:rFonts w:ascii="Arial" w:cs="Arial" w:eastAsia="Arial" w:hAnsi="Arial"/>
                <w:sz w:val="14"/>
                <w:szCs w:val="14"/>
                <w:b w:val="1"/>
                <w:bCs w:val="1"/>
                <w:color w:val="auto"/>
                <w:w w:val="95"/>
              </w:rPr>
              <w:t>Beneficial Ownership</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12"/>
                <w:szCs w:val="12"/>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r>
      <w:tr>
        <w:trPr>
          <w:trHeight w:val="178"/>
        </w:trPr>
        <w:tc>
          <w:tcPr>
            <w:tcW w:w="820" w:type="dxa"/>
            <w:vAlign w:val="bottom"/>
          </w:tcPr>
          <w:p>
            <w:pPr>
              <w:spacing w:after="0"/>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5"/>
                <w:szCs w:val="15"/>
                <w:color w:val="auto"/>
              </w:rPr>
            </w:pPr>
          </w:p>
        </w:tc>
      </w:tr>
    </w:tbl>
    <w:p>
      <w:pPr>
        <w:spacing w:after="0" w:line="249" w:lineRule="exact"/>
        <w:rPr>
          <w:sz w:val="24"/>
          <w:szCs w:val="24"/>
          <w:color w:val="auto"/>
        </w:rPr>
      </w:pPr>
    </w:p>
    <w:p>
      <w:pPr>
        <w:sectPr>
          <w:pgSz w:w="11900" w:h="16838" w:orient="portrait"/>
          <w:cols w:equalWidth="0" w:num="2">
            <w:col w:w="8060" w:space="60"/>
            <w:col w:w="3280"/>
          </w:cols>
          <w:pgMar w:left="240" w:top="226" w:right="25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2720" w:type="dxa"/>
            <w:vAlign w:val="bottom"/>
            <w:vMerge w:val="restart"/>
          </w:tcPr>
          <w:p>
            <w:pPr>
              <w:ind w:left="60"/>
              <w:spacing w:after="0"/>
              <w:rPr>
                <w:sz w:val="20"/>
                <w:szCs w:val="20"/>
                <w:color w:val="auto"/>
              </w:rPr>
            </w:pPr>
            <w:r>
              <w:rPr>
                <w:rFonts w:ascii="Arial" w:cs="Arial" w:eastAsia="Arial" w:hAnsi="Arial"/>
                <w:sz w:val="18"/>
                <w:szCs w:val="18"/>
                <w:color w:val="0000FF"/>
              </w:rPr>
              <w:t>Stock Appreciation Rights</w:t>
            </w:r>
          </w:p>
        </w:tc>
        <w:tc>
          <w:tcPr>
            <w:tcW w:w="1580" w:type="dxa"/>
            <w:vAlign w:val="bottom"/>
            <w:vMerge w:val="restart"/>
          </w:tcPr>
          <w:p>
            <w:pPr>
              <w:jc w:val="right"/>
              <w:spacing w:after="0"/>
              <w:rPr>
                <w:sz w:val="20"/>
                <w:szCs w:val="20"/>
                <w:color w:val="auto"/>
              </w:rPr>
            </w:pPr>
            <w:r>
              <w:rPr>
                <w:rFonts w:ascii="Arial" w:cs="Arial" w:eastAsia="Arial" w:hAnsi="Arial"/>
                <w:sz w:val="14"/>
                <w:szCs w:val="14"/>
                <w:color w:val="0000FF"/>
              </w:rPr>
              <w:t>09/29/2017</w:t>
            </w:r>
            <w:r>
              <w:rPr>
                <w:rFonts w:ascii="Arial" w:cs="Arial" w:eastAsia="Arial" w:hAnsi="Arial"/>
                <w:sz w:val="22"/>
                <w:szCs w:val="22"/>
                <w:color w:val="008000"/>
                <w:vertAlign w:val="superscript"/>
              </w:rPr>
              <w:t>(1)</w:t>
            </w: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color w:val="0000FF"/>
                <w:w w:val="90"/>
              </w:rPr>
              <w:t>02/10/2026</w:t>
            </w:r>
            <w:r>
              <w:rPr>
                <w:rFonts w:ascii="Arial" w:cs="Arial" w:eastAsia="Arial" w:hAnsi="Arial"/>
                <w:sz w:val="22"/>
                <w:szCs w:val="22"/>
                <w:color w:val="008000"/>
                <w:w w:val="90"/>
                <w:vertAlign w:val="superscript"/>
              </w:rPr>
              <w:t>(1)</w:t>
            </w:r>
          </w:p>
        </w:tc>
        <w:tc>
          <w:tcPr>
            <w:tcW w:w="1920" w:type="dxa"/>
            <w:vAlign w:val="bottom"/>
          </w:tcPr>
          <w:p>
            <w:pPr>
              <w:jc w:val="center"/>
              <w:spacing w:after="0"/>
              <w:rPr>
                <w:sz w:val="20"/>
                <w:szCs w:val="20"/>
                <w:color w:val="auto"/>
              </w:rPr>
            </w:pPr>
            <w:r>
              <w:rPr>
                <w:rFonts w:ascii="Arial" w:cs="Arial" w:eastAsia="Arial" w:hAnsi="Arial"/>
                <w:sz w:val="18"/>
                <w:szCs w:val="18"/>
                <w:color w:val="0000FF"/>
                <w:w w:val="88"/>
              </w:rPr>
              <w:t>Class A Common Stock,</w:t>
            </w:r>
          </w:p>
        </w:tc>
        <w:tc>
          <w:tcPr>
            <w:tcW w:w="980" w:type="dxa"/>
            <w:vAlign w:val="bottom"/>
            <w:vMerge w:val="restart"/>
          </w:tcPr>
          <w:p>
            <w:pPr>
              <w:jc w:val="right"/>
              <w:ind w:right="92"/>
              <w:spacing w:after="0"/>
              <w:rPr>
                <w:sz w:val="20"/>
                <w:szCs w:val="20"/>
                <w:color w:val="auto"/>
              </w:rPr>
            </w:pPr>
            <w:r>
              <w:rPr>
                <w:rFonts w:ascii="Arial" w:cs="Arial" w:eastAsia="Arial" w:hAnsi="Arial"/>
                <w:sz w:val="18"/>
                <w:szCs w:val="18"/>
                <w:color w:val="0000FF"/>
                <w:w w:val="97"/>
              </w:rPr>
              <w:t>1,300,705</w:t>
            </w:r>
          </w:p>
        </w:tc>
        <w:tc>
          <w:tcPr>
            <w:tcW w:w="840" w:type="dxa"/>
            <w:vAlign w:val="bottom"/>
            <w:vMerge w:val="restart"/>
          </w:tcPr>
          <w:p>
            <w:pPr>
              <w:jc w:val="right"/>
              <w:ind w:right="252"/>
              <w:spacing w:after="0"/>
              <w:rPr>
                <w:sz w:val="20"/>
                <w:szCs w:val="20"/>
                <w:color w:val="auto"/>
              </w:rPr>
            </w:pPr>
            <w:r>
              <w:rPr>
                <w:rFonts w:ascii="Arial" w:cs="Arial" w:eastAsia="Arial" w:hAnsi="Arial"/>
                <w:sz w:val="18"/>
                <w:szCs w:val="18"/>
                <w:color w:val="0000FF"/>
              </w:rPr>
              <w:t>2.66</w:t>
            </w:r>
          </w:p>
        </w:tc>
        <w:tc>
          <w:tcPr>
            <w:tcW w:w="24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27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color w:val="0000FF"/>
                <w:w w:val="86"/>
              </w:rPr>
              <w:t>par value $0.001</w:t>
            </w: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7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720" w:type="dxa"/>
            <w:vAlign w:val="bottom"/>
            <w:vMerge w:val="restart"/>
          </w:tcPr>
          <w:p>
            <w:pPr>
              <w:ind w:left="60"/>
              <w:spacing w:after="0"/>
              <w:rPr>
                <w:sz w:val="20"/>
                <w:szCs w:val="20"/>
                <w:color w:val="auto"/>
              </w:rPr>
            </w:pPr>
            <w:r>
              <w:rPr>
                <w:rFonts w:ascii="Arial" w:cs="Arial" w:eastAsia="Arial" w:hAnsi="Arial"/>
                <w:sz w:val="18"/>
                <w:szCs w:val="18"/>
                <w:color w:val="0000FF"/>
              </w:rPr>
              <w:t>Stock Appreciation Rights</w:t>
            </w:r>
          </w:p>
        </w:tc>
        <w:tc>
          <w:tcPr>
            <w:tcW w:w="1580" w:type="dxa"/>
            <w:vAlign w:val="bottom"/>
            <w:vMerge w:val="restart"/>
          </w:tcPr>
          <w:p>
            <w:pPr>
              <w:jc w:val="right"/>
              <w:spacing w:after="0"/>
              <w:rPr>
                <w:sz w:val="20"/>
                <w:szCs w:val="20"/>
                <w:color w:val="auto"/>
              </w:rPr>
            </w:pPr>
            <w:r>
              <w:rPr>
                <w:rFonts w:ascii="Arial" w:cs="Arial" w:eastAsia="Arial" w:hAnsi="Arial"/>
                <w:sz w:val="14"/>
                <w:szCs w:val="14"/>
                <w:color w:val="0000FF"/>
              </w:rPr>
              <w:t>02/14/2018</w:t>
            </w:r>
            <w:r>
              <w:rPr>
                <w:rFonts w:ascii="Arial" w:cs="Arial" w:eastAsia="Arial" w:hAnsi="Arial"/>
                <w:sz w:val="22"/>
                <w:szCs w:val="22"/>
                <w:color w:val="008000"/>
                <w:vertAlign w:val="superscript"/>
              </w:rPr>
              <w:t>(2)</w:t>
            </w: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color w:val="0000FF"/>
                <w:w w:val="90"/>
              </w:rPr>
              <w:t>02/14/2027</w:t>
            </w:r>
            <w:r>
              <w:rPr>
                <w:rFonts w:ascii="Arial" w:cs="Arial" w:eastAsia="Arial" w:hAnsi="Arial"/>
                <w:sz w:val="22"/>
                <w:szCs w:val="22"/>
                <w:color w:val="008000"/>
                <w:w w:val="90"/>
                <w:vertAlign w:val="superscript"/>
              </w:rPr>
              <w:t>(2)</w:t>
            </w:r>
          </w:p>
        </w:tc>
        <w:tc>
          <w:tcPr>
            <w:tcW w:w="1920" w:type="dxa"/>
            <w:vAlign w:val="bottom"/>
          </w:tcPr>
          <w:p>
            <w:pPr>
              <w:jc w:val="center"/>
              <w:spacing w:after="0"/>
              <w:rPr>
                <w:sz w:val="20"/>
                <w:szCs w:val="20"/>
                <w:color w:val="auto"/>
              </w:rPr>
            </w:pPr>
            <w:r>
              <w:rPr>
                <w:rFonts w:ascii="Arial" w:cs="Arial" w:eastAsia="Arial" w:hAnsi="Arial"/>
                <w:sz w:val="18"/>
                <w:szCs w:val="18"/>
                <w:color w:val="0000FF"/>
                <w:w w:val="88"/>
              </w:rPr>
              <w:t>Class A Common Stock,</w:t>
            </w:r>
          </w:p>
        </w:tc>
        <w:tc>
          <w:tcPr>
            <w:tcW w:w="980" w:type="dxa"/>
            <w:vAlign w:val="bottom"/>
            <w:vMerge w:val="restart"/>
          </w:tcPr>
          <w:p>
            <w:pPr>
              <w:jc w:val="right"/>
              <w:ind w:right="92"/>
              <w:spacing w:after="0"/>
              <w:rPr>
                <w:sz w:val="20"/>
                <w:szCs w:val="20"/>
                <w:color w:val="auto"/>
              </w:rPr>
            </w:pPr>
            <w:r>
              <w:rPr>
                <w:rFonts w:ascii="Arial" w:cs="Arial" w:eastAsia="Arial" w:hAnsi="Arial"/>
                <w:sz w:val="18"/>
                <w:szCs w:val="18"/>
                <w:color w:val="0000FF"/>
                <w:w w:val="97"/>
              </w:rPr>
              <w:t>5,574,450</w:t>
            </w:r>
          </w:p>
        </w:tc>
        <w:tc>
          <w:tcPr>
            <w:tcW w:w="840" w:type="dxa"/>
            <w:vAlign w:val="bottom"/>
            <w:vMerge w:val="restart"/>
          </w:tcPr>
          <w:p>
            <w:pPr>
              <w:jc w:val="right"/>
              <w:ind w:right="252"/>
              <w:spacing w:after="0"/>
              <w:rPr>
                <w:sz w:val="20"/>
                <w:szCs w:val="20"/>
                <w:color w:val="auto"/>
              </w:rPr>
            </w:pPr>
            <w:r>
              <w:rPr>
                <w:rFonts w:ascii="Arial" w:cs="Arial" w:eastAsia="Arial" w:hAnsi="Arial"/>
                <w:sz w:val="18"/>
                <w:szCs w:val="18"/>
                <w:color w:val="0000FF"/>
              </w:rPr>
              <w:t>4.53</w:t>
            </w:r>
          </w:p>
        </w:tc>
        <w:tc>
          <w:tcPr>
            <w:tcW w:w="24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27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color w:val="0000FF"/>
                <w:w w:val="86"/>
              </w:rPr>
              <w:t>par value $0.001</w:t>
            </w: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Represents 325,176 vested stock appreciation rights and 975,529 unvested stock appreciation rights that vest in three equal installments on each of February 11, 2018, 2019 and 2020, subject to continued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Represents unvested stock appreciation rights that vest in four equal installments on each of February 14, 2018, 2019, 2020 and 2021, subject to continued service.</w:t>
      </w:r>
    </w:p>
    <w:p>
      <w:pPr>
        <w:ind w:left="6860"/>
        <w:spacing w:after="0" w:line="184" w:lineRule="auto"/>
        <w:rPr>
          <w:sz w:val="20"/>
          <w:szCs w:val="20"/>
          <w:color w:val="auto"/>
        </w:rPr>
      </w:pPr>
      <w:r>
        <w:rPr>
          <w:rFonts w:ascii="Arial" w:cs="Arial" w:eastAsia="Arial" w:hAnsi="Arial"/>
          <w:sz w:val="17"/>
          <w:szCs w:val="17"/>
          <w:color w:val="0000FF"/>
        </w:rPr>
        <w:t xml:space="preserve">Tanya M. Stanich as Attorney-  </w:t>
      </w:r>
      <w:r>
        <w:rPr>
          <w:rFonts w:ascii="Arial" w:cs="Arial" w:eastAsia="Arial" w:hAnsi="Arial"/>
          <w:sz w:val="34"/>
          <w:szCs w:val="34"/>
          <w:color w:val="0000FF"/>
          <w:vertAlign w:val="subscript"/>
        </w:rPr>
        <w:t>10/03/2017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9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Craig M. Smith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98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982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00"/>
          </w:cols>
          <w:pgMar w:left="240" w:top="226" w:right="25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left="120" w:right="1779" w:firstLine="843"/>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Joanne Hawkins, Tanya M. Stanich and Lee Spiegler, signing singly, as the undersigned's true and lawful attorney-in-fact to:</w:t>
      </w:r>
    </w:p>
    <w:p>
      <w:pPr>
        <w:spacing w:after="0" w:line="209" w:lineRule="exact"/>
        <w:rPr>
          <w:sz w:val="20"/>
          <w:szCs w:val="20"/>
          <w:color w:val="auto"/>
        </w:rPr>
      </w:pPr>
    </w:p>
    <w:p>
      <w:pPr>
        <w:jc w:val="both"/>
        <w:ind w:left="1280" w:right="1779" w:hanging="640"/>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of ANGI Homeservices Inc. (the "Company"), Forms 3, 4 and 5 in accordance with Section 16(a) of the Securities Exchange Act of 1934, as amended, and the rules thereunder (the "Exchange Act"), and Form ID to obtain and/or renew EDGAR codes, passwords and/or passphrases for use in connection with the filing of Forms 3, 4 and 5;</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w:t>
      </w:r>
    </w:p>
    <w:p>
      <w:pPr>
        <w:spacing w:after="0" w:line="209"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w:t>
      </w:r>
    </w:p>
    <w:p>
      <w:pPr>
        <w:spacing w:after="0" w:line="212"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11" w:lineRule="exact"/>
        <w:rPr>
          <w:sz w:val="20"/>
          <w:szCs w:val="20"/>
          <w:color w:val="auto"/>
        </w:rPr>
      </w:pPr>
    </w:p>
    <w:p>
      <w:pPr>
        <w:jc w:val="both"/>
        <w:ind w:right="1779" w:firstLine="632"/>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ind w:left="120" w:right="17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left="120" w:right="1779" w:firstLine="843"/>
        <w:spacing w:after="0" w:line="238" w:lineRule="auto"/>
        <w:rPr>
          <w:sz w:val="20"/>
          <w:szCs w:val="20"/>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w:t>
      </w:r>
    </w:p>
    <w:p>
      <w:pPr>
        <w:spacing w:after="0" w:line="207" w:lineRule="exact"/>
        <w:rPr>
          <w:sz w:val="20"/>
          <w:szCs w:val="20"/>
          <w:color w:val="auto"/>
        </w:rPr>
      </w:pPr>
    </w:p>
    <w:p>
      <w:pPr>
        <w:jc w:val="both"/>
        <w:ind w:left="120"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had caused this Power of Attorney to be executed as of this 8th day of September 2017.</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Criag M. Smith</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Criag M. Smith</w:t>
      </w:r>
    </w:p>
    <w:sectPr>
      <w:pgSz w:w="11900" w:h="16838" w:orient="portrait"/>
      <w:cols w:equalWidth="0" w:num="1">
        <w:col w:w="10219"/>
      </w:cols>
      <w:pgMar w:left="240" w:top="136" w:right="1440" w:bottom="5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17529" TargetMode="External"/><Relationship Id="rId12"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2019-12-04T02:34:06Z</dcterms:created>
  <dcterms:modified xsi:type="dcterms:W3CDTF">2019-12-04T02:34:06Z</dcterms:modified>
</cp:coreProperties>
</file>