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8" w:lineRule="exact"/>
        <w:rPr>
          <w:sz w:val="24"/>
          <w:szCs w:val="24"/>
          <w:color w:val="auto"/>
        </w:rPr>
      </w:pPr>
    </w:p>
    <w:p>
      <w:pPr>
        <w:ind w:left="380"/>
        <w:spacing w:after="0" w:line="231"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36195</wp:posOffset>
            </wp:positionH>
            <wp:positionV relativeFrom="paragraph">
              <wp:posOffset>-236220</wp:posOffset>
            </wp:positionV>
            <wp:extent cx="132715" cy="132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715" cy="1327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7"/>
        </w:trPr>
        <w:tc>
          <w:tcPr>
            <w:tcW w:w="6480" w:type="dxa"/>
            <w:vAlign w:val="bottom"/>
          </w:tcPr>
          <w:p>
            <w:pPr>
              <w:jc w:val="center"/>
              <w:ind w:right="27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44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480" w:type="dxa"/>
            <w:vAlign w:val="bottom"/>
            <w:vMerge w:val="restart"/>
          </w:tcPr>
          <w:p>
            <w:pPr>
              <w:jc w:val="center"/>
              <w:ind w:right="255"/>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4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80" w:type="dxa"/>
            <w:vAlign w:val="bottom"/>
            <w:vMerge w:val="restart"/>
          </w:tcPr>
          <w:p>
            <w:pPr>
              <w:jc w:val="center"/>
              <w:ind w:right="255"/>
              <w:spacing w:after="0" w:line="192" w:lineRule="exact"/>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64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4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1"/>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4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6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480" w:type="dxa"/>
            <w:vAlign w:val="bottom"/>
            <w:vMerge w:val="restart"/>
          </w:tcPr>
          <w:p>
            <w:pPr>
              <w:jc w:val="center"/>
              <w:ind w:right="27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4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5434965</wp:posOffset>
            </wp:positionH>
            <wp:positionV relativeFrom="paragraph">
              <wp:posOffset>-634365</wp:posOffset>
            </wp:positionV>
            <wp:extent cx="58420" cy="6477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7700"/>
                    </a:xfrm>
                    <a:prstGeom prst="rect">
                      <a:avLst/>
                    </a:prstGeom>
                    <a:noFill/>
                  </pic:spPr>
                </pic:pic>
              </a:graphicData>
            </a:graphic>
          </wp:anchor>
        </w:drawing>
        <w:drawing>
          <wp:anchor simplePos="0" relativeHeight="251657728" behindDoc="1" locked="0" layoutInCell="0" allowOverlap="1">
            <wp:simplePos x="0" y="0"/>
            <wp:positionH relativeFrom="column">
              <wp:posOffset>4098925</wp:posOffset>
            </wp:positionH>
            <wp:positionV relativeFrom="paragraph">
              <wp:posOffset>-634365</wp:posOffset>
            </wp:positionV>
            <wp:extent cx="58420" cy="6477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770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-1748790</wp:posOffset>
            </wp:positionH>
            <wp:positionV relativeFrom="paragraph">
              <wp:posOffset>17145</wp:posOffset>
            </wp:positionV>
            <wp:extent cx="7324725" cy="5758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725" cy="5758180"/>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300" w:space="440"/>
            <w:col w:w="8780"/>
          </w:cols>
          <w:pgMar w:left="240" w:top="223"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Lowrie Allison</w:t>
        </w:r>
      </w:hyperlink>
    </w:p>
    <w:p>
      <w:pPr>
        <w:spacing w:after="0" w:line="310" w:lineRule="exact"/>
        <w:rPr>
          <w:sz w:val="24"/>
          <w:szCs w:val="24"/>
          <w:color w:val="auto"/>
        </w:rPr>
      </w:pPr>
    </w:p>
    <w:p>
      <w:pPr>
        <w:ind w:left="120"/>
        <w:spacing w:after="0"/>
        <w:tabs>
          <w:tab w:leader="none" w:pos="136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5" w:lineRule="exact"/>
        <w:rPr>
          <w:sz w:val="24"/>
          <w:szCs w:val="24"/>
          <w:color w:val="auto"/>
        </w:rPr>
      </w:pPr>
    </w:p>
    <w:p>
      <w:pPr>
        <w:ind w:left="120" w:right="600"/>
        <w:spacing w:after="0" w:line="350" w:lineRule="auto"/>
        <w:rPr>
          <w:sz w:val="20"/>
          <w:szCs w:val="20"/>
          <w:color w:val="auto"/>
        </w:rPr>
      </w:pPr>
      <w:r>
        <w:rPr>
          <w:rFonts w:ascii="Arial" w:cs="Arial" w:eastAsia="Arial" w:hAnsi="Arial"/>
          <w:sz w:val="15"/>
          <w:szCs w:val="15"/>
          <w:color w:val="0000FF"/>
        </w:rPr>
        <w:t>C/O ANGI HOMESERVICES INC. 3601 WALNUT STREET, SUITE 700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8"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ANGI Homeservices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5"/>
          <w:szCs w:val="15"/>
          <w:color w:val="0000FF"/>
        </w:rPr>
        <w:t>ANGI</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7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04/23/2019</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ind w:left="7" w:right="720" w:hanging="7"/>
        <w:spacing w:after="0" w:line="241"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207" w:type="dxa"/>
        <w:tblCellMar>
          <w:top w:w="0" w:type="dxa"/>
          <w:left w:w="0" w:type="dxa"/>
          <w:bottom w:w="0" w:type="dxa"/>
          <w:right w:w="0" w:type="dxa"/>
        </w:tblCellMar>
      </w:tblPr>
      <w:tr>
        <w:trPr>
          <w:trHeight w:val="156"/>
        </w:trPr>
        <w:tc>
          <w:tcPr>
            <w:tcW w:w="240" w:type="dxa"/>
            <w:vAlign w:val="bottom"/>
          </w:tcPr>
          <w:p>
            <w:pPr>
              <w:spacing w:after="0"/>
              <w:rPr>
                <w:sz w:val="13"/>
                <w:szCs w:val="13"/>
                <w:color w:val="auto"/>
              </w:rPr>
            </w:pPr>
          </w:p>
        </w:tc>
        <w:tc>
          <w:tcPr>
            <w:tcW w:w="15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980" w:type="dxa"/>
            <w:vAlign w:val="bottom"/>
          </w:tcPr>
          <w:p>
            <w:pPr>
              <w:ind w:left="1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3"/>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5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980" w:type="dxa"/>
            <w:vAlign w:val="bottom"/>
          </w:tcPr>
          <w:p>
            <w:pPr>
              <w:ind w:left="18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40" w:type="dxa"/>
            <w:vAlign w:val="bottom"/>
            <w:vMerge w:val="continue"/>
          </w:tcPr>
          <w:p>
            <w:pPr>
              <w:spacing w:after="0"/>
              <w:rPr>
                <w:sz w:val="8"/>
                <w:szCs w:val="8"/>
                <w:color w:val="auto"/>
              </w:rPr>
            </w:pPr>
          </w:p>
        </w:tc>
        <w:tc>
          <w:tcPr>
            <w:tcW w:w="15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980" w:type="dxa"/>
            <w:vAlign w:val="bottom"/>
            <w:vMerge w:val="restart"/>
          </w:tcPr>
          <w:p>
            <w:pPr>
              <w:ind w:left="18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40" w:type="dxa"/>
            <w:vAlign w:val="bottom"/>
          </w:tcPr>
          <w:p>
            <w:pPr>
              <w:spacing w:after="0"/>
              <w:rPr>
                <w:sz w:val="4"/>
                <w:szCs w:val="4"/>
                <w:color w:val="auto"/>
              </w:rPr>
            </w:pPr>
          </w:p>
        </w:tc>
        <w:tc>
          <w:tcPr>
            <w:tcW w:w="1560" w:type="dxa"/>
            <w:vAlign w:val="bottom"/>
            <w:vMerge w:val="continue"/>
          </w:tcPr>
          <w:p>
            <w:pPr>
              <w:spacing w:after="0"/>
              <w:rPr>
                <w:sz w:val="4"/>
                <w:szCs w:val="4"/>
                <w:color w:val="auto"/>
              </w:rPr>
            </w:pPr>
          </w:p>
        </w:tc>
        <w:tc>
          <w:tcPr>
            <w:tcW w:w="9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7"/>
        </w:trPr>
        <w:tc>
          <w:tcPr>
            <w:tcW w:w="240" w:type="dxa"/>
            <w:vAlign w:val="bottom"/>
          </w:tcPr>
          <w:p>
            <w:pPr>
              <w:spacing w:after="0"/>
              <w:rPr>
                <w:sz w:val="21"/>
                <w:szCs w:val="21"/>
                <w:color w:val="auto"/>
              </w:rPr>
            </w:pPr>
          </w:p>
        </w:tc>
        <w:tc>
          <w:tcPr>
            <w:tcW w:w="1560" w:type="dxa"/>
            <w:vAlign w:val="bottom"/>
          </w:tcPr>
          <w:p>
            <w:pPr>
              <w:ind w:left="1000"/>
              <w:spacing w:after="0"/>
              <w:rPr>
                <w:sz w:val="20"/>
                <w:szCs w:val="20"/>
                <w:color w:val="auto"/>
              </w:rPr>
            </w:pPr>
            <w:r>
              <w:rPr>
                <w:rFonts w:ascii="Arial" w:cs="Arial" w:eastAsia="Arial" w:hAnsi="Arial"/>
                <w:sz w:val="17"/>
                <w:szCs w:val="17"/>
                <w:color w:val="0000FF"/>
              </w:rPr>
              <w:t>CMO</w:t>
            </w: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419" w:lineRule="exact"/>
        <w:rPr>
          <w:sz w:val="24"/>
          <w:szCs w:val="24"/>
          <w:color w:val="auto"/>
        </w:rPr>
      </w:pPr>
    </w:p>
    <w:p>
      <w:pPr>
        <w:sectPr>
          <w:pgSz w:w="11900" w:h="16838" w:orient="portrait"/>
          <w:cols w:equalWidth="0" w:num="3">
            <w:col w:w="3340" w:space="720"/>
            <w:col w:w="3273" w:space="720"/>
            <w:col w:w="3467"/>
          </w:cols>
          <w:pgMar w:left="240" w:top="223" w:right="139" w:bottom="1440" w:gutter="0" w:footer="0" w:header="0"/>
          <w:type w:val="continuous"/>
        </w:sect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820" w:type="dxa"/>
            <w:vAlign w:val="bottom"/>
            <w:gridSpan w:val="6"/>
          </w:tcPr>
          <w:p>
            <w:pPr>
              <w:jc w:val="center"/>
              <w:ind w:right="153"/>
              <w:spacing w:after="0" w:line="100" w:lineRule="exact"/>
              <w:rPr>
                <w:sz w:val="20"/>
                <w:szCs w:val="20"/>
                <w:color w:val="auto"/>
              </w:rPr>
            </w:pPr>
            <w:r>
              <w:rPr>
                <w:rFonts w:ascii="Arial" w:cs="Arial" w:eastAsia="Arial" w:hAnsi="Arial"/>
                <w:sz w:val="11"/>
                <w:szCs w:val="11"/>
                <w:color w:val="auto"/>
              </w:rPr>
              <w:t>4. If Amendment, Date of Original Filed (Month/Day/Year)</w:t>
            </w:r>
          </w:p>
        </w:tc>
        <w:tc>
          <w:tcPr>
            <w:tcW w:w="3780" w:type="dxa"/>
            <w:vAlign w:val="bottom"/>
            <w:gridSpan w:val="10"/>
          </w:tcPr>
          <w:p>
            <w:pPr>
              <w:ind w:left="320"/>
              <w:spacing w:after="0" w:line="100"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gridSpan w:val="2"/>
          </w:tcPr>
          <w:p>
            <w:pPr>
              <w:ind w:left="320"/>
              <w:spacing w:after="0"/>
              <w:rPr>
                <w:sz w:val="20"/>
                <w:szCs w:val="20"/>
                <w:color w:val="auto"/>
              </w:rPr>
            </w:pPr>
            <w:r>
              <w:rPr>
                <w:rFonts w:ascii="Arial" w:cs="Arial" w:eastAsia="Arial" w:hAnsi="Arial"/>
                <w:sz w:val="13"/>
                <w:szCs w:val="13"/>
                <w:color w:val="auto"/>
              </w:rPr>
              <w:t>Line)</w:t>
            </w: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780" w:type="dxa"/>
            <w:vAlign w:val="bottom"/>
            <w:gridSpan w:val="10"/>
            <w:vMerge w:val="restart"/>
          </w:tcPr>
          <w:p>
            <w:pPr>
              <w:ind w:left="5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20"/>
              <w:spacing w:after="0"/>
              <w:rPr>
                <w:sz w:val="20"/>
                <w:szCs w:val="20"/>
                <w:color w:val="auto"/>
              </w:rPr>
            </w:pPr>
            <w:r>
              <w:rPr>
                <w:rFonts w:ascii="Arial" w:cs="Arial" w:eastAsia="Arial" w:hAnsi="Arial"/>
                <w:sz w:val="17"/>
                <w:szCs w:val="17"/>
                <w:color w:val="0000FF"/>
              </w:rPr>
              <w:t>DENVER</w:t>
            </w:r>
          </w:p>
        </w:tc>
        <w:tc>
          <w:tcPr>
            <w:tcW w:w="800" w:type="dxa"/>
            <w:vAlign w:val="bottom"/>
            <w:vMerge w:val="restart"/>
          </w:tcPr>
          <w:p>
            <w:pPr>
              <w:ind w:left="520"/>
              <w:spacing w:after="0"/>
              <w:rPr>
                <w:sz w:val="20"/>
                <w:szCs w:val="20"/>
                <w:color w:val="auto"/>
              </w:rPr>
            </w:pPr>
            <w:r>
              <w:rPr>
                <w:rFonts w:ascii="Arial" w:cs="Arial" w:eastAsia="Arial" w:hAnsi="Arial"/>
                <w:sz w:val="17"/>
                <w:szCs w:val="17"/>
                <w:color w:val="0000FF"/>
              </w:rPr>
              <w:t>CO</w:t>
            </w:r>
          </w:p>
        </w:tc>
        <w:tc>
          <w:tcPr>
            <w:tcW w:w="1000" w:type="dxa"/>
            <w:vAlign w:val="bottom"/>
          </w:tcPr>
          <w:p>
            <w:pPr>
              <w:spacing w:after="0"/>
              <w:rPr>
                <w:sz w:val="11"/>
                <w:szCs w:val="11"/>
                <w:color w:val="auto"/>
              </w:rPr>
            </w:pPr>
          </w:p>
        </w:tc>
        <w:tc>
          <w:tcPr>
            <w:tcW w:w="840" w:type="dxa"/>
            <w:vAlign w:val="bottom"/>
            <w:vMerge w:val="restart"/>
          </w:tcPr>
          <w:p>
            <w:pPr>
              <w:spacing w:after="0"/>
              <w:rPr>
                <w:sz w:val="20"/>
                <w:szCs w:val="20"/>
                <w:color w:val="auto"/>
              </w:rPr>
            </w:pPr>
            <w:r>
              <w:rPr>
                <w:rFonts w:ascii="Arial" w:cs="Arial" w:eastAsia="Arial" w:hAnsi="Arial"/>
                <w:sz w:val="17"/>
                <w:szCs w:val="17"/>
                <w:color w:val="0000FF"/>
              </w:rPr>
              <w:t>80205</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96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Borders>
              <w:bottom w:val="single" w:sz="8" w:color="9A9A9A"/>
            </w:tcBorders>
          </w:tcPr>
          <w:p>
            <w:pPr>
              <w:spacing w:after="0"/>
              <w:rPr>
                <w:sz w:val="5"/>
                <w:szCs w:val="5"/>
                <w:color w:val="auto"/>
              </w:rPr>
            </w:pPr>
          </w:p>
        </w:tc>
        <w:tc>
          <w:tcPr>
            <w:tcW w:w="80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840" w:type="dxa"/>
            <w:vAlign w:val="bottom"/>
            <w:tcBorders>
              <w:bottom w:val="single" w:sz="8" w:color="9A9A9A"/>
            </w:tcBorders>
          </w:tcPr>
          <w:p>
            <w:pPr>
              <w:spacing w:after="0"/>
              <w:rPr>
                <w:sz w:val="5"/>
                <w:szCs w:val="5"/>
                <w:color w:val="auto"/>
              </w:rPr>
            </w:pPr>
          </w:p>
        </w:tc>
        <w:tc>
          <w:tcPr>
            <w:tcW w:w="32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620" w:type="dxa"/>
            <w:vAlign w:val="bottom"/>
          </w:tcPr>
          <w:p>
            <w:pPr>
              <w:spacing w:after="0"/>
              <w:rPr>
                <w:sz w:val="5"/>
                <w:szCs w:val="5"/>
                <w:color w:val="auto"/>
              </w:rPr>
            </w:pPr>
          </w:p>
        </w:tc>
        <w:tc>
          <w:tcPr>
            <w:tcW w:w="96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vMerge w:val="restart"/>
          </w:tcPr>
          <w:p>
            <w:pPr>
              <w:spacing w:after="0"/>
              <w:rPr>
                <w:sz w:val="5"/>
                <w:szCs w:val="5"/>
                <w:color w:val="auto"/>
              </w:rPr>
            </w:pPr>
          </w:p>
        </w:tc>
        <w:tc>
          <w:tcPr>
            <w:tcW w:w="66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00" w:type="dxa"/>
            <w:vAlign w:val="bottom"/>
            <w:gridSpan w:val="2"/>
            <w:vMerge w:val="restart"/>
          </w:tcPr>
          <w:p>
            <w:pPr>
              <w:ind w:left="520"/>
              <w:spacing w:after="0"/>
              <w:rPr>
                <w:sz w:val="20"/>
                <w:szCs w:val="20"/>
                <w:color w:val="auto"/>
              </w:rPr>
            </w:pPr>
            <w:r>
              <w:rPr>
                <w:rFonts w:ascii="Arial" w:cs="Arial" w:eastAsia="Arial" w:hAnsi="Arial"/>
                <w:sz w:val="13"/>
                <w:szCs w:val="13"/>
                <w:color w:val="auto"/>
              </w:rPr>
              <w:t>(State)</w:t>
            </w:r>
          </w:p>
        </w:tc>
        <w:tc>
          <w:tcPr>
            <w:tcW w:w="840" w:type="dxa"/>
            <w:vAlign w:val="bottom"/>
            <w:vMerge w:val="restart"/>
          </w:tcPr>
          <w:p>
            <w:pPr>
              <w:spacing w:after="0"/>
              <w:rPr>
                <w:sz w:val="20"/>
                <w:szCs w:val="20"/>
                <w:color w:val="auto"/>
              </w:rPr>
            </w:pPr>
            <w:r>
              <w:rPr>
                <w:rFonts w:ascii="Arial" w:cs="Arial" w:eastAsia="Arial" w:hAnsi="Arial"/>
                <w:sz w:val="13"/>
                <w:szCs w:val="13"/>
                <w:color w:val="auto"/>
              </w:rPr>
              <w:t>(Zip)</w:t>
            </w: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960" w:type="dxa"/>
            <w:vAlign w:val="bottom"/>
          </w:tcPr>
          <w:p>
            <w:pPr>
              <w:spacing w:after="0"/>
              <w:rPr>
                <w:sz w:val="6"/>
                <w:szCs w:val="6"/>
                <w:color w:val="auto"/>
              </w:rPr>
            </w:pPr>
          </w:p>
        </w:tc>
        <w:tc>
          <w:tcPr>
            <w:tcW w:w="8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1800" w:type="dxa"/>
            <w:vAlign w:val="bottom"/>
            <w:gridSpan w:val="2"/>
            <w:vMerge w:val="continue"/>
          </w:tcPr>
          <w:p>
            <w:pPr>
              <w:spacing w:after="0"/>
              <w:rPr>
                <w:sz w:val="19"/>
                <w:szCs w:val="19"/>
                <w:color w:val="auto"/>
              </w:rPr>
            </w:pPr>
          </w:p>
        </w:tc>
        <w:tc>
          <w:tcPr>
            <w:tcW w:w="84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4"/>
          </w:tcPr>
          <w:p>
            <w:pPr>
              <w:spacing w:after="0"/>
              <w:rPr>
                <w:sz w:val="10"/>
                <w:szCs w:val="10"/>
                <w:color w:val="auto"/>
              </w:rPr>
            </w:pPr>
          </w:p>
        </w:tc>
        <w:tc>
          <w:tcPr>
            <w:tcW w:w="1660" w:type="dxa"/>
            <w:vAlign w:val="bottom"/>
            <w:tcBorders>
              <w:bottom w:val="single" w:sz="8" w:color="2C2C2C"/>
            </w:tcBorders>
            <w:gridSpan w:val="3"/>
          </w:tcPr>
          <w:p>
            <w:pPr>
              <w:spacing w:after="0"/>
              <w:rPr>
                <w:sz w:val="10"/>
                <w:szCs w:val="10"/>
                <w:color w:val="auto"/>
              </w:rPr>
            </w:pPr>
          </w:p>
        </w:tc>
        <w:tc>
          <w:tcPr>
            <w:tcW w:w="2800" w:type="dxa"/>
            <w:vAlign w:val="bottom"/>
            <w:tcBorders>
              <w:bottom w:val="single" w:sz="8" w:color="2C2C2C"/>
            </w:tcBorders>
            <w:gridSpan w:val="4"/>
          </w:tcPr>
          <w:p>
            <w:pPr>
              <w:spacing w:after="0"/>
              <w:rPr>
                <w:sz w:val="10"/>
                <w:szCs w:val="10"/>
                <w:color w:val="auto"/>
              </w:rPr>
            </w:pPr>
          </w:p>
        </w:tc>
        <w:tc>
          <w:tcPr>
            <w:tcW w:w="80" w:type="dxa"/>
            <w:vAlign w:val="bottom"/>
            <w:tcBorders>
              <w:bottom w:val="single" w:sz="8" w:color="2C2C2C"/>
            </w:tcBorders>
            <w:gridSpan w:val="2"/>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7460" w:type="dxa"/>
            <w:vAlign w:val="bottom"/>
            <w:tcBorders>
              <w:top w:val="single" w:sz="8" w:color="2C2C2C"/>
            </w:tcBorders>
            <w:gridSpan w:val="14"/>
          </w:tcPr>
          <w:p>
            <w:pPr>
              <w:jc w:val="center"/>
              <w:ind w:left="575"/>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640" w:type="dxa"/>
            <w:vAlign w:val="bottom"/>
            <w:tcBorders>
              <w:bottom w:val="single" w:sz="8" w:color="2C2C2C"/>
            </w:tcBorders>
            <w:gridSpan w:val="4"/>
          </w:tcPr>
          <w:p>
            <w:pPr>
              <w:spacing w:after="0"/>
              <w:rPr>
                <w:sz w:val="4"/>
                <w:szCs w:val="4"/>
                <w:color w:val="auto"/>
              </w:rPr>
            </w:pPr>
          </w:p>
        </w:tc>
        <w:tc>
          <w:tcPr>
            <w:tcW w:w="1880" w:type="dxa"/>
            <w:vAlign w:val="bottom"/>
            <w:tcBorders>
              <w:bottom w:val="single" w:sz="8" w:color="2C2C2C"/>
            </w:tcBorders>
            <w:gridSpan w:val="4"/>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2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64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4"/>
          </w:tcPr>
          <w:p>
            <w:pPr>
              <w:ind w:left="78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4"/>
                <w:szCs w:val="14"/>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gridSpan w:val="2"/>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60" w:type="dxa"/>
            <w:vAlign w:val="bottom"/>
          </w:tcPr>
          <w:p>
            <w:pPr>
              <w:spacing w:after="0" w:line="128"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4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9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80" w:type="dxa"/>
            <w:vAlign w:val="bottom"/>
            <w:gridSpan w:val="4"/>
          </w:tcPr>
          <w:p>
            <w:pPr>
              <w:ind w:left="780"/>
              <w:spacing w:after="0" w:line="131" w:lineRule="exact"/>
              <w:rPr>
                <w:sz w:val="20"/>
                <w:szCs w:val="20"/>
                <w:color w:val="auto"/>
              </w:rPr>
            </w:pPr>
            <w:r>
              <w:rPr>
                <w:rFonts w:ascii="Arial" w:cs="Arial" w:eastAsia="Arial" w:hAnsi="Arial"/>
                <w:sz w:val="12"/>
                <w:szCs w:val="12"/>
                <w:b w:val="1"/>
                <w:bCs w:val="1"/>
                <w:color w:val="auto"/>
              </w:rPr>
              <w:t>(Month/Day/Year)</w:t>
            </w:r>
          </w:p>
        </w:tc>
        <w:tc>
          <w:tcPr>
            <w:tcW w:w="960" w:type="dxa"/>
            <w:vAlign w:val="bottom"/>
          </w:tcPr>
          <w:p>
            <w:pPr>
              <w:spacing w:after="0" w:line="131"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60" w:type="dxa"/>
            <w:vAlign w:val="bottom"/>
          </w:tcPr>
          <w:p>
            <w:pPr>
              <w:spacing w:after="0" w:line="131" w:lineRule="exact"/>
              <w:rPr>
                <w:sz w:val="20"/>
                <w:szCs w:val="20"/>
                <w:color w:val="auto"/>
              </w:rPr>
            </w:pPr>
            <w:r>
              <w:rPr>
                <w:rFonts w:ascii="Arial" w:cs="Arial" w:eastAsia="Arial" w:hAnsi="Arial"/>
                <w:sz w:val="12"/>
                <w:szCs w:val="12"/>
                <w:b w:val="1"/>
                <w:bCs w:val="1"/>
                <w:color w:val="auto"/>
                <w:w w:val="95"/>
              </w:rPr>
              <w:t>(Month/Day/Year)</w:t>
            </w:r>
          </w:p>
        </w:tc>
        <w:tc>
          <w:tcPr>
            <w:tcW w:w="860" w:type="dxa"/>
            <w:vAlign w:val="bottom"/>
            <w:gridSpan w:val="2"/>
          </w:tcPr>
          <w:p>
            <w:pPr>
              <w:ind w:left="140"/>
              <w:spacing w:after="0" w:line="131"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8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960" w:type="dxa"/>
            <w:vAlign w:val="bottom"/>
          </w:tcPr>
          <w:p>
            <w:pPr>
              <w:spacing w:after="0"/>
              <w:rPr>
                <w:sz w:val="6"/>
                <w:szCs w:val="6"/>
                <w:color w:val="auto"/>
              </w:rPr>
            </w:pPr>
          </w:p>
        </w:tc>
        <w:tc>
          <w:tcPr>
            <w:tcW w:w="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1"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40" w:type="dxa"/>
            <w:vAlign w:val="bottom"/>
            <w:gridSpan w:val="3"/>
            <w:vMerge w:val="restart"/>
          </w:tcPr>
          <w:p>
            <w:pPr>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00"/>
              <w:spacing w:after="0" w:line="131"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2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8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96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96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480" w:type="dxa"/>
            <w:vAlign w:val="bottom"/>
            <w:tcBorders>
              <w:bottom w:val="single" w:sz="8" w:color="2C2C2C"/>
            </w:tcBorders>
            <w:gridSpan w:val="5"/>
          </w:tcPr>
          <w:p>
            <w:pPr>
              <w:spacing w:after="0"/>
              <w:rPr>
                <w:sz w:val="4"/>
                <w:szCs w:val="4"/>
                <w:color w:val="auto"/>
              </w:rPr>
            </w:pPr>
          </w:p>
        </w:tc>
        <w:tc>
          <w:tcPr>
            <w:tcW w:w="1040" w:type="dxa"/>
            <w:vAlign w:val="bottom"/>
            <w:tcBorders>
              <w:bottom w:val="single" w:sz="8" w:color="2C2C2C"/>
            </w:tcBorders>
            <w:gridSpan w:val="3"/>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348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 par value $0.001</w:t>
            </w:r>
            <w:r>
              <w:rPr>
                <w:rFonts w:ascii="Arial" w:cs="Arial" w:eastAsia="Arial" w:hAnsi="Arial"/>
                <w:sz w:val="21"/>
                <w:szCs w:val="21"/>
                <w:color w:val="008000"/>
                <w:vertAlign w:val="superscript"/>
              </w:rPr>
              <w:t>(1)</w:t>
            </w:r>
          </w:p>
        </w:tc>
        <w:tc>
          <w:tcPr>
            <w:tcW w:w="1040" w:type="dxa"/>
            <w:vAlign w:val="bottom"/>
            <w:tcBorders>
              <w:bottom w:val="single" w:sz="8" w:color="2C2C2C"/>
            </w:tcBorders>
            <w:gridSpan w:val="3"/>
          </w:tcPr>
          <w:p>
            <w:pPr>
              <w:jc w:val="center"/>
              <w:ind w:right="126"/>
              <w:spacing w:after="0"/>
              <w:rPr>
                <w:sz w:val="20"/>
                <w:szCs w:val="20"/>
                <w:color w:val="auto"/>
              </w:rPr>
            </w:pPr>
            <w:r>
              <w:rPr>
                <w:rFonts w:ascii="Arial" w:cs="Arial" w:eastAsia="Arial" w:hAnsi="Arial"/>
                <w:sz w:val="17"/>
                <w:szCs w:val="17"/>
                <w:color w:val="0000FF"/>
                <w:w w:val="91"/>
              </w:rPr>
              <w:t>04/23/2019</w:t>
            </w:r>
          </w:p>
        </w:tc>
        <w:tc>
          <w:tcPr>
            <w:tcW w:w="9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4"/>
              <w:spacing w:after="0"/>
              <w:rPr>
                <w:sz w:val="20"/>
                <w:szCs w:val="20"/>
                <w:color w:val="auto"/>
              </w:rPr>
            </w:pPr>
            <w:r>
              <w:rPr>
                <w:rFonts w:ascii="Arial" w:cs="Arial" w:eastAsia="Arial" w:hAnsi="Arial"/>
                <w:sz w:val="26"/>
                <w:szCs w:val="26"/>
                <w:color w:val="0000FF"/>
                <w:w w:val="85"/>
                <w:vertAlign w:val="subscript"/>
              </w:rPr>
              <w:t>M</w:t>
            </w:r>
            <w:r>
              <w:rPr>
                <w:rFonts w:ascii="Arial" w:cs="Arial" w:eastAsia="Arial" w:hAnsi="Arial"/>
                <w:sz w:val="11"/>
                <w:szCs w:val="11"/>
                <w:color w:val="008000"/>
                <w:w w:val="85"/>
              </w:rPr>
              <w:t>(1)</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2"/>
              </w:rPr>
              <w:t>14,517</w:t>
            </w:r>
          </w:p>
        </w:tc>
        <w:tc>
          <w:tcPr>
            <w:tcW w:w="5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0.98</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8"/>
              </w:rPr>
              <w:t>14,517</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4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348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 par value $0.001</w:t>
            </w:r>
            <w:r>
              <w:rPr>
                <w:rFonts w:ascii="Arial" w:cs="Arial" w:eastAsia="Arial" w:hAnsi="Arial"/>
                <w:sz w:val="21"/>
                <w:szCs w:val="21"/>
                <w:color w:val="008000"/>
                <w:vertAlign w:val="superscript"/>
              </w:rPr>
              <w:t>(2)</w:t>
            </w:r>
          </w:p>
        </w:tc>
        <w:tc>
          <w:tcPr>
            <w:tcW w:w="1040" w:type="dxa"/>
            <w:vAlign w:val="bottom"/>
            <w:tcBorders>
              <w:bottom w:val="single" w:sz="8" w:color="2C2C2C"/>
            </w:tcBorders>
            <w:gridSpan w:val="3"/>
          </w:tcPr>
          <w:p>
            <w:pPr>
              <w:jc w:val="center"/>
              <w:ind w:right="126"/>
              <w:spacing w:after="0"/>
              <w:rPr>
                <w:sz w:val="20"/>
                <w:szCs w:val="20"/>
                <w:color w:val="auto"/>
              </w:rPr>
            </w:pPr>
            <w:r>
              <w:rPr>
                <w:rFonts w:ascii="Arial" w:cs="Arial" w:eastAsia="Arial" w:hAnsi="Arial"/>
                <w:sz w:val="17"/>
                <w:szCs w:val="17"/>
                <w:color w:val="0000FF"/>
                <w:w w:val="91"/>
              </w:rPr>
              <w:t>04/23/2019</w:t>
            </w:r>
          </w:p>
        </w:tc>
        <w:tc>
          <w:tcPr>
            <w:tcW w:w="9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04"/>
              <w:spacing w:after="0"/>
              <w:rPr>
                <w:sz w:val="20"/>
                <w:szCs w:val="20"/>
                <w:color w:val="auto"/>
              </w:rPr>
            </w:pPr>
            <w:r>
              <w:rPr>
                <w:rFonts w:ascii="Arial" w:cs="Arial" w:eastAsia="Arial" w:hAnsi="Arial"/>
                <w:sz w:val="26"/>
                <w:szCs w:val="26"/>
                <w:color w:val="0000FF"/>
                <w:w w:val="84"/>
                <w:vertAlign w:val="subscript"/>
              </w:rPr>
              <w:t>D</w:t>
            </w:r>
            <w:r>
              <w:rPr>
                <w:rFonts w:ascii="Arial" w:cs="Arial" w:eastAsia="Arial" w:hAnsi="Arial"/>
                <w:sz w:val="11"/>
                <w:szCs w:val="11"/>
                <w:color w:val="008000"/>
                <w:w w:val="84"/>
              </w:rPr>
              <w:t>(2)</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4"/>
              </w:rPr>
              <w:t>878</w:t>
            </w:r>
          </w:p>
        </w:tc>
        <w:tc>
          <w:tcPr>
            <w:tcW w:w="5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16.21</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8"/>
              </w:rPr>
              <w:t>13,639</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4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348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 par value $0.001</w:t>
            </w:r>
            <w:r>
              <w:rPr>
                <w:rFonts w:ascii="Arial" w:cs="Arial" w:eastAsia="Arial" w:hAnsi="Arial"/>
                <w:sz w:val="21"/>
                <w:szCs w:val="21"/>
                <w:color w:val="008000"/>
                <w:vertAlign w:val="superscript"/>
              </w:rPr>
              <w:t>(3)</w:t>
            </w:r>
          </w:p>
        </w:tc>
        <w:tc>
          <w:tcPr>
            <w:tcW w:w="1040" w:type="dxa"/>
            <w:vAlign w:val="bottom"/>
            <w:tcBorders>
              <w:bottom w:val="single" w:sz="8" w:color="2C2C2C"/>
            </w:tcBorders>
            <w:gridSpan w:val="3"/>
          </w:tcPr>
          <w:p>
            <w:pPr>
              <w:jc w:val="center"/>
              <w:ind w:right="126"/>
              <w:spacing w:after="0"/>
              <w:rPr>
                <w:sz w:val="20"/>
                <w:szCs w:val="20"/>
                <w:color w:val="auto"/>
              </w:rPr>
            </w:pPr>
            <w:r>
              <w:rPr>
                <w:rFonts w:ascii="Arial" w:cs="Arial" w:eastAsia="Arial" w:hAnsi="Arial"/>
                <w:sz w:val="17"/>
                <w:szCs w:val="17"/>
                <w:color w:val="0000FF"/>
                <w:w w:val="91"/>
              </w:rPr>
              <w:t>04/23/2019</w:t>
            </w:r>
          </w:p>
        </w:tc>
        <w:tc>
          <w:tcPr>
            <w:tcW w:w="9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4"/>
              <w:spacing w:after="0"/>
              <w:rPr>
                <w:sz w:val="20"/>
                <w:szCs w:val="20"/>
                <w:color w:val="auto"/>
              </w:rPr>
            </w:pPr>
            <w:r>
              <w:rPr>
                <w:rFonts w:ascii="Arial" w:cs="Arial" w:eastAsia="Arial" w:hAnsi="Arial"/>
                <w:sz w:val="26"/>
                <w:szCs w:val="26"/>
                <w:color w:val="0000FF"/>
                <w:w w:val="83"/>
                <w:vertAlign w:val="subscript"/>
              </w:rPr>
              <w:t>F</w:t>
            </w:r>
            <w:r>
              <w:rPr>
                <w:rFonts w:ascii="Arial" w:cs="Arial" w:eastAsia="Arial" w:hAnsi="Arial"/>
                <w:sz w:val="11"/>
                <w:szCs w:val="11"/>
                <w:color w:val="008000"/>
                <w:w w:val="83"/>
              </w:rPr>
              <w:t>(3)</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5,999</w:t>
            </w:r>
          </w:p>
        </w:tc>
        <w:tc>
          <w:tcPr>
            <w:tcW w:w="5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16.21</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7,640</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4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20" w:type="dxa"/>
            <w:vAlign w:val="bottom"/>
            <w:tcBorders>
              <w:bottom w:val="single" w:sz="8" w:color="2C2C2C"/>
            </w:tcBorders>
          </w:tcPr>
          <w:p>
            <w:pPr>
              <w:spacing w:after="0"/>
              <w:rPr>
                <w:sz w:val="24"/>
                <w:szCs w:val="24"/>
                <w:color w:val="auto"/>
              </w:rPr>
            </w:pPr>
          </w:p>
        </w:tc>
        <w:tc>
          <w:tcPr>
            <w:tcW w:w="348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 par value $0.001</w:t>
            </w:r>
            <w:r>
              <w:rPr>
                <w:rFonts w:ascii="Arial" w:cs="Arial" w:eastAsia="Arial" w:hAnsi="Arial"/>
                <w:sz w:val="21"/>
                <w:szCs w:val="21"/>
                <w:color w:val="008000"/>
                <w:vertAlign w:val="superscript"/>
              </w:rPr>
              <w:t>(4)</w:t>
            </w:r>
          </w:p>
        </w:tc>
        <w:tc>
          <w:tcPr>
            <w:tcW w:w="1040" w:type="dxa"/>
            <w:vAlign w:val="bottom"/>
            <w:tcBorders>
              <w:bottom w:val="single" w:sz="8" w:color="2C2C2C"/>
            </w:tcBorders>
            <w:gridSpan w:val="3"/>
          </w:tcPr>
          <w:p>
            <w:pPr>
              <w:jc w:val="center"/>
              <w:ind w:right="126"/>
              <w:spacing w:after="0"/>
              <w:rPr>
                <w:sz w:val="20"/>
                <w:szCs w:val="20"/>
                <w:color w:val="auto"/>
              </w:rPr>
            </w:pPr>
            <w:r>
              <w:rPr>
                <w:rFonts w:ascii="Arial" w:cs="Arial" w:eastAsia="Arial" w:hAnsi="Arial"/>
                <w:sz w:val="17"/>
                <w:szCs w:val="17"/>
                <w:color w:val="0000FF"/>
                <w:w w:val="91"/>
              </w:rPr>
              <w:t>04/23/2019</w:t>
            </w:r>
          </w:p>
        </w:tc>
        <w:tc>
          <w:tcPr>
            <w:tcW w:w="9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4"/>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(4)</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7,640</w:t>
            </w:r>
          </w:p>
        </w:tc>
        <w:tc>
          <w:tcPr>
            <w:tcW w:w="5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6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16.72</w:t>
            </w:r>
            <w:r>
              <w:rPr>
                <w:rFonts w:ascii="Arial" w:cs="Arial" w:eastAsia="Arial" w:hAnsi="Arial"/>
                <w:sz w:val="21"/>
                <w:szCs w:val="21"/>
                <w:color w:val="008000"/>
                <w:w w:val="86"/>
                <w:vertAlign w:val="superscript"/>
              </w:rPr>
              <w:t>(5)</w:t>
            </w:r>
          </w:p>
        </w:tc>
        <w:tc>
          <w:tcPr>
            <w:tcW w:w="700" w:type="dxa"/>
            <w:vAlign w:val="bottom"/>
            <w:tcBorders>
              <w:bottom w:val="single" w:sz="8" w:color="2C2C2C"/>
            </w:tcBorders>
            <w:gridSpan w:val="2"/>
          </w:tcPr>
          <w:p>
            <w:pPr>
              <w:jc w:val="center"/>
              <w:ind w:left="490"/>
              <w:spacing w:after="0"/>
              <w:rPr>
                <w:sz w:val="20"/>
                <w:szCs w:val="20"/>
                <w:color w:val="auto"/>
              </w:rPr>
            </w:pPr>
            <w:r>
              <w:rPr>
                <w:rFonts w:ascii="Arial" w:cs="Arial" w:eastAsia="Arial" w:hAnsi="Arial"/>
                <w:sz w:val="17"/>
                <w:szCs w:val="17"/>
                <w:color w:val="0000FF"/>
              </w:rPr>
              <w:t>0</w:t>
            </w:r>
          </w:p>
        </w:tc>
        <w:tc>
          <w:tcPr>
            <w:tcW w:w="6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4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800" w:type="dxa"/>
            <w:vAlign w:val="bottom"/>
            <w:tcBorders>
              <w:top w:val="single" w:sz="8" w:color="2C2C2C"/>
            </w:tcBorders>
          </w:tcPr>
          <w:p>
            <w:pPr>
              <w:spacing w:after="0"/>
              <w:rPr>
                <w:sz w:val="18"/>
                <w:szCs w:val="18"/>
                <w:color w:val="auto"/>
              </w:rPr>
            </w:pPr>
          </w:p>
        </w:tc>
        <w:tc>
          <w:tcPr>
            <w:tcW w:w="1000" w:type="dxa"/>
            <w:vAlign w:val="bottom"/>
            <w:tcBorders>
              <w:top w:val="single" w:sz="8" w:color="2C2C2C"/>
            </w:tcBorders>
          </w:tcPr>
          <w:p>
            <w:pPr>
              <w:spacing w:after="0"/>
              <w:rPr>
                <w:sz w:val="18"/>
                <w:szCs w:val="18"/>
                <w:color w:val="auto"/>
              </w:rPr>
            </w:pPr>
          </w:p>
        </w:tc>
        <w:tc>
          <w:tcPr>
            <w:tcW w:w="646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760" w:type="dxa"/>
            <w:vAlign w:val="bottom"/>
            <w:gridSpan w:val="11"/>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gridSpan w:val="3"/>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100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8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320" w:type="dxa"/>
            <w:vAlign w:val="bottom"/>
          </w:tcPr>
          <w:p>
            <w:pPr>
              <w:spacing w:after="0"/>
              <w:rPr>
                <w:sz w:val="14"/>
                <w:szCs w:val="14"/>
                <w:color w:val="auto"/>
              </w:rPr>
            </w:pPr>
          </w:p>
        </w:tc>
        <w:tc>
          <w:tcPr>
            <w:tcW w:w="720" w:type="dxa"/>
            <w:vAlign w:val="bottom"/>
            <w:gridSpan w:val="2"/>
          </w:tcPr>
          <w:p>
            <w:pPr>
              <w:jc w:val="center"/>
              <w:ind w:right="446"/>
              <w:spacing w:after="0"/>
              <w:rPr>
                <w:sz w:val="20"/>
                <w:szCs w:val="20"/>
                <w:color w:val="auto"/>
              </w:rPr>
            </w:pPr>
            <w:r>
              <w:rPr>
                <w:rFonts w:ascii="Arial" w:cs="Arial" w:eastAsia="Arial" w:hAnsi="Arial"/>
                <w:sz w:val="12"/>
                <w:szCs w:val="12"/>
                <w:b w:val="1"/>
                <w:bCs w:val="1"/>
                <w:color w:val="auto"/>
                <w:w w:val="99"/>
              </w:rPr>
              <w:t>4.</w:t>
            </w:r>
          </w:p>
        </w:tc>
        <w:tc>
          <w:tcPr>
            <w:tcW w:w="96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6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16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Transaction   of</w:t>
            </w:r>
          </w:p>
        </w:tc>
        <w:tc>
          <w:tcPr>
            <w:tcW w:w="8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w w:val="95"/>
              </w:rPr>
              <w:t>Expiration Date</w:t>
            </w:r>
          </w:p>
        </w:tc>
        <w:tc>
          <w:tcPr>
            <w:tcW w:w="800" w:type="dxa"/>
            <w:vAlign w:val="bottom"/>
          </w:tcPr>
          <w:p>
            <w:pPr>
              <w:spacing w:after="0"/>
              <w:rPr>
                <w:sz w:val="11"/>
                <w:szCs w:val="11"/>
                <w:color w:val="auto"/>
              </w:rPr>
            </w:pPr>
          </w:p>
        </w:tc>
        <w:tc>
          <w:tcPr>
            <w:tcW w:w="126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40"/>
              <w:spacing w:after="0" w:line="131"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150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ind w:left="40"/>
              <w:spacing w:after="0" w:line="131" w:lineRule="exact"/>
              <w:rPr>
                <w:sz w:val="20"/>
                <w:szCs w:val="20"/>
                <w:color w:val="auto"/>
              </w:rPr>
            </w:pPr>
            <w:r>
              <w:rPr>
                <w:rFonts w:ascii="Arial" w:cs="Arial" w:eastAsia="Arial" w:hAnsi="Arial"/>
                <w:sz w:val="12"/>
                <w:szCs w:val="12"/>
                <w:b w:val="1"/>
                <w:bCs w:val="1"/>
                <w:color w:val="auto"/>
                <w:w w:val="95"/>
              </w:rPr>
              <w:t>(Month/Day/Year)</w:t>
            </w:r>
          </w:p>
        </w:tc>
        <w:tc>
          <w:tcPr>
            <w:tcW w:w="84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7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95"/>
              </w:rPr>
              <w:t>Code (Instr.</w:t>
            </w:r>
          </w:p>
        </w:tc>
        <w:tc>
          <w:tcPr>
            <w:tcW w:w="960" w:type="dxa"/>
            <w:vAlign w:val="bottom"/>
          </w:tcPr>
          <w:p>
            <w:pPr>
              <w:ind w:left="160"/>
              <w:spacing w:after="0" w:line="131" w:lineRule="exact"/>
              <w:rPr>
                <w:sz w:val="20"/>
                <w:szCs w:val="20"/>
                <w:color w:val="auto"/>
              </w:rPr>
            </w:pPr>
            <w:r>
              <w:rPr>
                <w:rFonts w:ascii="Arial" w:cs="Arial" w:eastAsia="Arial" w:hAnsi="Arial"/>
                <w:sz w:val="12"/>
                <w:szCs w:val="12"/>
                <w:b w:val="1"/>
                <w:bCs w:val="1"/>
                <w:color w:val="auto"/>
              </w:rPr>
              <w:t>Derivative</w:t>
            </w:r>
          </w:p>
        </w:tc>
        <w:tc>
          <w:tcPr>
            <w:tcW w:w="166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(Month/Day/Year)</w:t>
            </w:r>
          </w:p>
        </w:tc>
        <w:tc>
          <w:tcPr>
            <w:tcW w:w="126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40"/>
              <w:spacing w:after="0" w:line="131"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60"/>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Price of</w:t>
            </w:r>
          </w:p>
        </w:tc>
        <w:tc>
          <w:tcPr>
            <w:tcW w:w="1000" w:type="dxa"/>
            <w:vAlign w:val="bottom"/>
          </w:tcPr>
          <w:p>
            <w:pPr>
              <w:spacing w:after="0"/>
              <w:rPr>
                <w:sz w:val="11"/>
                <w:szCs w:val="11"/>
                <w:color w:val="auto"/>
              </w:rPr>
            </w:pPr>
          </w:p>
        </w:tc>
        <w:tc>
          <w:tcPr>
            <w:tcW w:w="116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jc w:val="center"/>
              <w:ind w:right="446"/>
              <w:spacing w:after="0" w:line="131" w:lineRule="exact"/>
              <w:rPr>
                <w:sz w:val="20"/>
                <w:szCs w:val="20"/>
                <w:color w:val="auto"/>
              </w:rPr>
            </w:pPr>
            <w:r>
              <w:rPr>
                <w:rFonts w:ascii="Arial" w:cs="Arial" w:eastAsia="Arial" w:hAnsi="Arial"/>
                <w:sz w:val="12"/>
                <w:szCs w:val="12"/>
                <w:b w:val="1"/>
                <w:bCs w:val="1"/>
                <w:color w:val="auto"/>
                <w:w w:val="93"/>
              </w:rPr>
              <w:t>8)</w:t>
            </w:r>
          </w:p>
        </w:tc>
        <w:tc>
          <w:tcPr>
            <w:tcW w:w="960" w:type="dxa"/>
            <w:vAlign w:val="bottom"/>
          </w:tcPr>
          <w:p>
            <w:pPr>
              <w:ind w:left="160"/>
              <w:spacing w:after="0" w:line="131"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6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60"/>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60" w:type="dxa"/>
            <w:vAlign w:val="bottom"/>
          </w:tcPr>
          <w:p>
            <w:pPr>
              <w:ind w:left="160"/>
              <w:spacing w:after="0" w:line="131"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6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5"/>
              </w:rPr>
              <w:t>or Indirect</w:t>
            </w:r>
          </w:p>
        </w:tc>
        <w:tc>
          <w:tcPr>
            <w:tcW w:w="840" w:type="dxa"/>
            <w:vAlign w:val="bottom"/>
            <w:gridSpan w:val="3"/>
          </w:tcPr>
          <w:p>
            <w:pPr>
              <w:ind w:left="160"/>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Security</w:t>
            </w:r>
          </w:p>
        </w:tc>
        <w:tc>
          <w:tcPr>
            <w:tcW w:w="10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60" w:type="dxa"/>
            <w:vAlign w:val="bottom"/>
          </w:tcPr>
          <w:p>
            <w:pPr>
              <w:ind w:left="160"/>
              <w:spacing w:after="0" w:line="131"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40"/>
              <w:spacing w:after="0" w:line="131"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150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60" w:type="dxa"/>
            <w:vAlign w:val="bottom"/>
          </w:tcPr>
          <w:p>
            <w:pPr>
              <w:ind w:left="160"/>
              <w:spacing w:after="0" w:line="131"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60" w:type="dxa"/>
            <w:vAlign w:val="bottom"/>
          </w:tcPr>
          <w:p>
            <w:pPr>
              <w:ind w:left="160"/>
              <w:spacing w:after="0" w:line="131" w:lineRule="exact"/>
              <w:rPr>
                <w:sz w:val="20"/>
                <w:szCs w:val="20"/>
                <w:color w:val="auto"/>
              </w:rPr>
            </w:pPr>
            <w:r>
              <w:rPr>
                <w:rFonts w:ascii="Arial" w:cs="Arial" w:eastAsia="Arial" w:hAnsi="Arial"/>
                <w:sz w:val="12"/>
                <w:szCs w:val="12"/>
                <w:b w:val="1"/>
                <w:bCs w:val="1"/>
                <w:color w:val="auto"/>
              </w:rPr>
              <w:t>of (D) (Instr.</w:t>
            </w: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6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ind w:left="40"/>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spacing w:after="0" w:line="131" w:lineRule="exact"/>
              <w:rPr>
                <w:sz w:val="20"/>
                <w:szCs w:val="20"/>
                <w:color w:val="auto"/>
              </w:rPr>
            </w:pPr>
            <w:r>
              <w:rPr>
                <w:rFonts w:ascii="Arial" w:cs="Arial" w:eastAsia="Arial" w:hAnsi="Arial"/>
                <w:sz w:val="12"/>
                <w:szCs w:val="12"/>
                <w:b w:val="1"/>
                <w:bCs w:val="1"/>
                <w:color w:val="auto"/>
              </w:rPr>
              <w:t>Expiration</w:t>
            </w:r>
          </w:p>
        </w:tc>
        <w:tc>
          <w:tcPr>
            <w:tcW w:w="580" w:type="dxa"/>
            <w:vAlign w:val="bottom"/>
          </w:tcPr>
          <w:p>
            <w:pPr>
              <w:spacing w:after="0"/>
              <w:rPr>
                <w:sz w:val="11"/>
                <w:szCs w:val="11"/>
                <w:color w:val="auto"/>
              </w:rPr>
            </w:pPr>
          </w:p>
        </w:tc>
        <w:tc>
          <w:tcPr>
            <w:tcW w:w="68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96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84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8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8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spacing w:after="0" w:line="283" w:lineRule="exact"/>
              <w:rPr>
                <w:sz w:val="20"/>
                <w:szCs w:val="20"/>
                <w:color w:val="auto"/>
              </w:rPr>
            </w:pPr>
            <w:r>
              <w:rPr>
                <w:rFonts w:ascii="Arial" w:cs="Arial" w:eastAsia="Arial" w:hAnsi="Arial"/>
                <w:sz w:val="26"/>
                <w:szCs w:val="26"/>
                <w:color w:val="0000FF"/>
                <w:vertAlign w:val="subscript"/>
              </w:rPr>
              <w:t>M</w:t>
            </w:r>
            <w:r>
              <w:rPr>
                <w:rFonts w:ascii="Arial" w:cs="Arial" w:eastAsia="Arial" w:hAnsi="Arial"/>
                <w:sz w:val="11"/>
                <w:szCs w:val="11"/>
                <w:color w:val="008000"/>
              </w:rPr>
              <w:t>(6)</w:t>
            </w:r>
          </w:p>
        </w:tc>
        <w:tc>
          <w:tcPr>
            <w:tcW w:w="960" w:type="dxa"/>
            <w:vAlign w:val="bottom"/>
          </w:tcPr>
          <w:p>
            <w:pPr>
              <w:spacing w:after="0"/>
              <w:rPr>
                <w:sz w:val="11"/>
                <w:szCs w:val="11"/>
                <w:color w:val="auto"/>
              </w:rPr>
            </w:pPr>
          </w:p>
        </w:tc>
        <w:tc>
          <w:tcPr>
            <w:tcW w:w="860" w:type="dxa"/>
            <w:vAlign w:val="bottom"/>
            <w:gridSpan w:val="2"/>
            <w:vMerge w:val="restart"/>
          </w:tcPr>
          <w:p>
            <w:pPr>
              <w:spacing w:after="0"/>
              <w:rPr>
                <w:sz w:val="20"/>
                <w:szCs w:val="20"/>
                <w:color w:val="auto"/>
              </w:rPr>
            </w:pPr>
            <w:r>
              <w:rPr>
                <w:rFonts w:ascii="Arial" w:cs="Arial" w:eastAsia="Arial" w:hAnsi="Arial"/>
                <w:sz w:val="13"/>
                <w:szCs w:val="13"/>
                <w:color w:val="0000FF"/>
              </w:rPr>
              <w:t>09/29/2017</w:t>
            </w:r>
            <w:r>
              <w:rPr>
                <w:rFonts w:ascii="Arial" w:cs="Arial" w:eastAsia="Arial" w:hAnsi="Arial"/>
                <w:sz w:val="21"/>
                <w:szCs w:val="21"/>
                <w:color w:val="008000"/>
                <w:vertAlign w:val="superscript"/>
              </w:rPr>
              <w:t>(6)</w:t>
            </w:r>
          </w:p>
        </w:tc>
        <w:tc>
          <w:tcPr>
            <w:tcW w:w="800" w:type="dxa"/>
            <w:vAlign w:val="bottom"/>
            <w:vMerge w:val="restart"/>
          </w:tcPr>
          <w:p>
            <w:pPr>
              <w:spacing w:after="0"/>
              <w:rPr>
                <w:sz w:val="20"/>
                <w:szCs w:val="20"/>
                <w:color w:val="auto"/>
              </w:rPr>
            </w:pPr>
            <w:r>
              <w:rPr>
                <w:rFonts w:ascii="Arial" w:cs="Arial" w:eastAsia="Arial" w:hAnsi="Arial"/>
                <w:sz w:val="13"/>
                <w:szCs w:val="13"/>
                <w:color w:val="0000FF"/>
                <w:w w:val="94"/>
              </w:rPr>
              <w:t>02/11/2025</w:t>
            </w:r>
            <w:r>
              <w:rPr>
                <w:rFonts w:ascii="Arial" w:cs="Arial" w:eastAsia="Arial" w:hAnsi="Arial"/>
                <w:sz w:val="21"/>
                <w:szCs w:val="21"/>
                <w:color w:val="008000"/>
                <w:w w:val="94"/>
                <w:vertAlign w:val="superscript"/>
              </w:rPr>
              <w:t>(6)</w:t>
            </w:r>
          </w:p>
        </w:tc>
        <w:tc>
          <w:tcPr>
            <w:tcW w:w="580" w:type="dxa"/>
            <w:vAlign w:val="bottom"/>
          </w:tcPr>
          <w:p>
            <w:pPr>
              <w:jc w:val="center"/>
              <w:spacing w:after="0" w:line="131" w:lineRule="exact"/>
              <w:rPr>
                <w:sz w:val="20"/>
                <w:szCs w:val="20"/>
                <w:color w:val="auto"/>
              </w:rPr>
            </w:pPr>
            <w:r>
              <w:rPr>
                <w:rFonts w:ascii="Arial" w:cs="Arial" w:eastAsia="Arial" w:hAnsi="Arial"/>
                <w:sz w:val="13"/>
                <w:szCs w:val="13"/>
                <w:color w:val="0000FF"/>
                <w:w w:val="90"/>
              </w:rPr>
              <w:t>Common</w:t>
            </w:r>
          </w:p>
        </w:tc>
        <w:tc>
          <w:tcPr>
            <w:tcW w:w="640" w:type="dxa"/>
            <w:vAlign w:val="bottom"/>
            <w:vMerge w:val="restart"/>
          </w:tcPr>
          <w:p>
            <w:pPr>
              <w:jc w:val="center"/>
              <w:spacing w:after="0"/>
              <w:rPr>
                <w:sz w:val="20"/>
                <w:szCs w:val="20"/>
                <w:color w:val="auto"/>
              </w:rPr>
            </w:pPr>
            <w:r>
              <w:rPr>
                <w:rFonts w:ascii="Arial" w:cs="Arial" w:eastAsia="Arial" w:hAnsi="Arial"/>
                <w:sz w:val="17"/>
                <w:szCs w:val="17"/>
                <w:color w:val="0000FF"/>
                <w:w w:val="92"/>
              </w:rPr>
              <w:t>14,517</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40" w:type="dxa"/>
            <w:vAlign w:val="bottom"/>
            <w:gridSpan w:val="2"/>
          </w:tcPr>
          <w:p>
            <w:pPr>
              <w:ind w:left="60"/>
              <w:spacing w:after="0"/>
              <w:rPr>
                <w:sz w:val="20"/>
                <w:szCs w:val="20"/>
                <w:color w:val="auto"/>
              </w:rPr>
            </w:pPr>
            <w:r>
              <w:rPr>
                <w:rFonts w:ascii="Arial" w:cs="Arial" w:eastAsia="Arial" w:hAnsi="Arial"/>
                <w:sz w:val="13"/>
                <w:szCs w:val="13"/>
                <w:color w:val="0000FF"/>
              </w:rPr>
              <w:t>Appreciation</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0.98</w:t>
            </w:r>
          </w:p>
        </w:tc>
        <w:tc>
          <w:tcPr>
            <w:tcW w:w="1000" w:type="dxa"/>
            <w:vAlign w:val="bottom"/>
          </w:tcPr>
          <w:p>
            <w:pPr>
              <w:jc w:val="right"/>
              <w:ind w:right="115"/>
              <w:spacing w:after="0"/>
              <w:rPr>
                <w:sz w:val="20"/>
                <w:szCs w:val="20"/>
                <w:color w:val="auto"/>
              </w:rPr>
            </w:pPr>
            <w:r>
              <w:rPr>
                <w:rFonts w:ascii="Arial" w:cs="Arial" w:eastAsia="Arial" w:hAnsi="Arial"/>
                <w:sz w:val="13"/>
                <w:szCs w:val="13"/>
                <w:color w:val="0000FF"/>
              </w:rPr>
              <w:t>04/23/2019</w:t>
            </w:r>
          </w:p>
        </w:tc>
        <w:tc>
          <w:tcPr>
            <w:tcW w:w="8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960" w:type="dxa"/>
            <w:vAlign w:val="bottom"/>
          </w:tcPr>
          <w:p>
            <w:pPr>
              <w:ind w:left="480"/>
              <w:spacing w:after="0"/>
              <w:rPr>
                <w:sz w:val="20"/>
                <w:szCs w:val="20"/>
                <w:color w:val="auto"/>
              </w:rPr>
            </w:pPr>
            <w:r>
              <w:rPr>
                <w:rFonts w:ascii="Arial" w:cs="Arial" w:eastAsia="Arial" w:hAnsi="Arial"/>
                <w:sz w:val="13"/>
                <w:szCs w:val="13"/>
                <w:color w:val="0000FF"/>
              </w:rPr>
              <w:t>14,517</w:t>
            </w:r>
          </w:p>
        </w:tc>
        <w:tc>
          <w:tcPr>
            <w:tcW w:w="860" w:type="dxa"/>
            <w:vAlign w:val="bottom"/>
            <w:gridSpan w:val="2"/>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580" w:type="dxa"/>
            <w:vAlign w:val="bottom"/>
          </w:tcPr>
          <w:p>
            <w:pPr>
              <w:jc w:val="center"/>
              <w:spacing w:after="0"/>
              <w:rPr>
                <w:sz w:val="20"/>
                <w:szCs w:val="20"/>
                <w:color w:val="auto"/>
              </w:rPr>
            </w:pPr>
            <w:r>
              <w:rPr>
                <w:rFonts w:ascii="Arial" w:cs="Arial" w:eastAsia="Arial" w:hAnsi="Arial"/>
                <w:sz w:val="13"/>
                <w:szCs w:val="13"/>
                <w:color w:val="0000FF"/>
                <w:w w:val="88"/>
              </w:rPr>
              <w:t>Stock,</w:t>
            </w:r>
          </w:p>
        </w:tc>
        <w:tc>
          <w:tcPr>
            <w:tcW w:w="6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00" w:type="dxa"/>
            <w:vAlign w:val="bottom"/>
            <w:gridSpan w:val="2"/>
          </w:tcPr>
          <w:p>
            <w:pPr>
              <w:ind w:left="220"/>
              <w:spacing w:after="0"/>
              <w:rPr>
                <w:sz w:val="20"/>
                <w:szCs w:val="20"/>
                <w:color w:val="auto"/>
              </w:rPr>
            </w:pPr>
            <w:r>
              <w:rPr>
                <w:rFonts w:ascii="Arial" w:cs="Arial" w:eastAsia="Arial" w:hAnsi="Arial"/>
                <w:sz w:val="13"/>
                <w:szCs w:val="13"/>
                <w:color w:val="0000FF"/>
              </w:rPr>
              <w:t>725,847</w:t>
            </w:r>
          </w:p>
        </w:tc>
        <w:tc>
          <w:tcPr>
            <w:tcW w:w="660" w:type="dxa"/>
            <w:vAlign w:val="bottom"/>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40" w:type="dxa"/>
            <w:vAlign w:val="bottom"/>
            <w:gridSpan w:val="2"/>
          </w:tcPr>
          <w:p>
            <w:pPr>
              <w:ind w:left="60"/>
              <w:spacing w:after="0" w:line="148" w:lineRule="exact"/>
              <w:rPr>
                <w:sz w:val="20"/>
                <w:szCs w:val="20"/>
                <w:color w:val="auto"/>
              </w:rPr>
            </w:pPr>
            <w:r>
              <w:rPr>
                <w:rFonts w:ascii="Arial" w:cs="Arial" w:eastAsia="Arial" w:hAnsi="Arial"/>
                <w:sz w:val="11"/>
                <w:szCs w:val="11"/>
                <w:color w:val="0000FF"/>
              </w:rPr>
              <w:t>Rights</w:t>
            </w:r>
            <w:r>
              <w:rPr>
                <w:rFonts w:ascii="Arial" w:cs="Arial" w:eastAsia="Arial" w:hAnsi="Arial"/>
                <w:sz w:val="17"/>
                <w:szCs w:val="17"/>
                <w:color w:val="008000"/>
                <w:vertAlign w:val="superscript"/>
              </w:rPr>
              <w:t>(6)</w:t>
            </w:r>
          </w:p>
        </w:tc>
        <w:tc>
          <w:tcPr>
            <w:tcW w:w="8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80" w:type="dxa"/>
            <w:vAlign w:val="bottom"/>
          </w:tcPr>
          <w:p>
            <w:pPr>
              <w:jc w:val="center"/>
              <w:spacing w:after="0" w:line="148" w:lineRule="exact"/>
              <w:rPr>
                <w:sz w:val="20"/>
                <w:szCs w:val="20"/>
                <w:color w:val="auto"/>
              </w:rPr>
            </w:pPr>
            <w:r>
              <w:rPr>
                <w:rFonts w:ascii="Arial" w:cs="Arial" w:eastAsia="Arial" w:hAnsi="Arial"/>
                <w:sz w:val="13"/>
                <w:szCs w:val="13"/>
                <w:color w:val="0000FF"/>
                <w:w w:val="89"/>
              </w:rPr>
              <w:t>par value</w:t>
            </w: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3"/>
                <w:szCs w:val="13"/>
                <w:color w:val="0000FF"/>
                <w:w w:val="90"/>
              </w:rPr>
              <w:t>$0.001</w:t>
            </w: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4"/>
          <w:szCs w:val="24"/>
          <w:color w:val="auto"/>
        </w:rPr>
      </w:pPr>
    </w:p>
    <w:p>
      <w:pPr>
        <w:ind w:left="180" w:hanging="136"/>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of Class A Common Stock acquired/deemed to be acquired in connection with the exercise of stock appreciation rights (see footnote 6).</w:t>
      </w:r>
    </w:p>
    <w:p>
      <w:pPr>
        <w:spacing w:after="0" w:line="46" w:lineRule="exact"/>
        <w:rPr>
          <w:rFonts w:ascii="Arial" w:cs="Arial" w:eastAsia="Arial" w:hAnsi="Arial"/>
          <w:sz w:val="13"/>
          <w:szCs w:val="13"/>
          <w:color w:val="008000"/>
        </w:rPr>
      </w:pPr>
    </w:p>
    <w:p>
      <w:pPr>
        <w:ind w:left="180" w:hanging="136"/>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of Class A Common Stock deemed to be simultaneously sold back to ANGI Homeservices in connection with the exercise of stock appreciation rights (see footnote 6).</w:t>
      </w:r>
    </w:p>
    <w:p>
      <w:pPr>
        <w:spacing w:after="0" w:line="46" w:lineRule="exact"/>
        <w:rPr>
          <w:rFonts w:ascii="Arial" w:cs="Arial" w:eastAsia="Arial" w:hAnsi="Arial"/>
          <w:sz w:val="13"/>
          <w:szCs w:val="13"/>
          <w:color w:val="008000"/>
        </w:rPr>
      </w:pPr>
    </w:p>
    <w:p>
      <w:pPr>
        <w:ind w:left="180" w:hanging="136"/>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 shares withheld to cover taxes due in connection with exercise of stock appreciation rights (see footnote 6).</w:t>
      </w:r>
    </w:p>
    <w:p>
      <w:pPr>
        <w:spacing w:after="0" w:line="46" w:lineRule="exact"/>
        <w:rPr>
          <w:rFonts w:ascii="Arial" w:cs="Arial" w:eastAsia="Arial" w:hAnsi="Arial"/>
          <w:sz w:val="13"/>
          <w:szCs w:val="13"/>
          <w:color w:val="008000"/>
        </w:rPr>
      </w:pPr>
    </w:p>
    <w:p>
      <w:pPr>
        <w:ind w:left="40" w:right="340" w:firstLine="4"/>
        <w:spacing w:after="0" w:line="254" w:lineRule="auto"/>
        <w:tabs>
          <w:tab w:leader="none" w:pos="17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Reflects the sale of shares of Class A Common Stock effected pursuant to a Rule 10b5-1 trading plan adopted by the reporting person in December 2018 (the "Plan"). The Plan covers shares of Class A Common Stock to be acquired upon the exercise of 696,806 stock appreciation rights during the period commencing on January 22, 2019 and ending on January 16, 2020.</w:t>
      </w:r>
    </w:p>
    <w:p>
      <w:pPr>
        <w:spacing w:after="0" w:line="23" w:lineRule="exact"/>
        <w:rPr>
          <w:rFonts w:ascii="Arial" w:cs="Arial" w:eastAsia="Arial" w:hAnsi="Arial"/>
          <w:sz w:val="13"/>
          <w:szCs w:val="13"/>
          <w:color w:val="008000"/>
        </w:rPr>
      </w:pPr>
    </w:p>
    <w:p>
      <w:pPr>
        <w:ind w:left="40" w:right="260" w:firstLine="4"/>
        <w:spacing w:after="0" w:line="254" w:lineRule="auto"/>
        <w:tabs>
          <w:tab w:leader="none" w:pos="17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reflects the weighted average of sales made at prices ranging from $16.21 to $16.72. The reporting person agrees to provide upon request by the Staff of the Securities and Exchange Commission, ANGI Homeservices or any security holder of ANGI Homeservices, information regarding the number of shares sold at each separate price.</w:t>
      </w:r>
    </w:p>
    <w:p>
      <w:pPr>
        <w:spacing w:after="0" w:line="23" w:lineRule="exact"/>
        <w:rPr>
          <w:rFonts w:ascii="Arial" w:cs="Arial" w:eastAsia="Arial" w:hAnsi="Arial"/>
          <w:sz w:val="13"/>
          <w:szCs w:val="13"/>
          <w:color w:val="008000"/>
        </w:rPr>
      </w:pPr>
    </w:p>
    <w:p>
      <w:pPr>
        <w:ind w:left="180" w:hanging="136"/>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vested stock appreciation rights.</w:t>
      </w:r>
    </w:p>
    <w:p>
      <w:pPr>
        <w:spacing w:after="0" w:line="56"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1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0"/>
              </w:rPr>
              <w:t>Tanya M. Stanich as Attorney-</w:t>
            </w:r>
          </w:p>
        </w:tc>
        <w:tc>
          <w:tcPr>
            <w:tcW w:w="20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04/25/2019</w:t>
            </w:r>
          </w:p>
        </w:tc>
        <w:tc>
          <w:tcPr>
            <w:tcW w:w="0" w:type="dxa"/>
            <w:vAlign w:val="bottom"/>
          </w:tcPr>
          <w:p>
            <w:pPr>
              <w:spacing w:after="0"/>
              <w:rPr>
                <w:sz w:val="1"/>
                <w:szCs w:val="1"/>
                <w:color w:val="auto"/>
              </w:rPr>
            </w:pPr>
          </w:p>
        </w:tc>
      </w:tr>
      <w:tr>
        <w:trPr>
          <w:trHeight w:val="90"/>
        </w:trPr>
        <w:tc>
          <w:tcPr>
            <w:tcW w:w="2300" w:type="dxa"/>
            <w:vAlign w:val="bottom"/>
            <w:gridSpan w:val="3"/>
            <w:vMerge w:val="restart"/>
          </w:tcPr>
          <w:p>
            <w:pPr>
              <w:spacing w:after="0" w:line="189" w:lineRule="exact"/>
              <w:rPr>
                <w:sz w:val="20"/>
                <w:szCs w:val="20"/>
                <w:color w:val="auto"/>
              </w:rPr>
            </w:pPr>
            <w:r>
              <w:rPr>
                <w:rFonts w:ascii="Arial" w:cs="Arial" w:eastAsia="Arial" w:hAnsi="Arial"/>
                <w:sz w:val="17"/>
                <w:szCs w:val="17"/>
                <w:color w:val="0000FF"/>
              </w:rPr>
              <w:t>in-Fact for Allison Lowrie</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23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800" w:type="dxa"/>
            <w:vAlign w:val="bottom"/>
            <w:shd w:val="clear" w:color="auto" w:fill="000000"/>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940" w:firstLine="4"/>
        <w:spacing w:after="0" w:line="313"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3"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17532" TargetMode="External"/><Relationship Id="rId13" Type="http://schemas.openxmlformats.org/officeDocument/2006/relationships/hyperlink" Target="http://www.sec.gov/cgi-bin/browse-edgar?action=getcompany&amp;CIK=000170511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2019-12-23T22:36:19Z</dcterms:created>
  <dcterms:modified xsi:type="dcterms:W3CDTF">2019-12-23T22:36:19Z</dcterms:modified>
</cp:coreProperties>
</file>