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13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1363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Evans Thomas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09/29/2017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ANGI Homeservices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ANGI</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ANGI HOMESERVICES INC.</w:t>
      </w:r>
    </w:p>
    <w:p>
      <w:pPr>
        <w:spacing w:after="0" w:line="86" w:lineRule="exact"/>
        <w:rPr>
          <w:sz w:val="24"/>
          <w:szCs w:val="24"/>
          <w:color w:val="auto"/>
        </w:rPr>
      </w:pPr>
    </w:p>
    <w:p>
      <w:pPr>
        <w:ind w:left="120" w:right="1734"/>
        <w:spacing w:after="0" w:line="268" w:lineRule="auto"/>
        <w:rPr>
          <w:sz w:val="20"/>
          <w:szCs w:val="20"/>
          <w:color w:val="auto"/>
        </w:rPr>
      </w:pPr>
      <w:r>
        <w:rPr>
          <w:rFonts w:ascii="Arial" w:cs="Arial" w:eastAsia="Arial" w:hAnsi="Arial"/>
          <w:sz w:val="18"/>
          <w:szCs w:val="18"/>
          <w:color w:val="0000FF"/>
        </w:rPr>
        <w:t>14023 DENVER WEST PARKWAY, BUILDING 64</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w w:val="88"/>
              </w:rPr>
              <w:t>GOLDENCO</w:t>
            </w:r>
          </w:p>
        </w:tc>
        <w:tc>
          <w:tcPr>
            <w:tcW w:w="840" w:type="dxa"/>
            <w:vAlign w:val="bottom"/>
          </w:tcPr>
          <w:p>
            <w:pPr>
              <w:jc w:val="right"/>
              <w:spacing w:after="0"/>
              <w:rPr>
                <w:sz w:val="20"/>
                <w:szCs w:val="20"/>
                <w:color w:val="auto"/>
              </w:rPr>
            </w:pPr>
            <w:r>
              <w:rPr>
                <w:rFonts w:ascii="Arial" w:cs="Arial" w:eastAsia="Arial" w:hAnsi="Arial"/>
                <w:sz w:val="18"/>
                <w:szCs w:val="18"/>
                <w:color w:val="0000FF"/>
              </w:rPr>
              <w:t>80401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w w:val="91"/>
              </w:rPr>
              <w:t>Class A Common Stock, par value $0.001</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0" w:type="dxa"/>
            <w:vAlign w:val="bottom"/>
          </w:tcPr>
          <w:p>
            <w:pPr>
              <w:jc w:val="right"/>
              <w:ind w:right="860"/>
              <w:spacing w:after="0"/>
              <w:rPr>
                <w:sz w:val="20"/>
                <w:szCs w:val="20"/>
                <w:color w:val="auto"/>
              </w:rPr>
            </w:pPr>
            <w:r>
              <w:rPr>
                <w:rFonts w:ascii="Arial" w:cs="Arial" w:eastAsia="Arial" w:hAnsi="Arial"/>
                <w:sz w:val="18"/>
                <w:szCs w:val="18"/>
                <w:color w:val="0000FF"/>
              </w:rPr>
              <w:t>19,977</w:t>
            </w:r>
          </w:p>
        </w:tc>
        <w:tc>
          <w:tcPr>
            <w:tcW w:w="740" w:type="dxa"/>
            <w:vAlign w:val="bottom"/>
          </w:tcPr>
          <w:p>
            <w:pPr>
              <w:ind w:left="4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52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520" w:type="dxa"/>
            <w:vAlign w:val="bottom"/>
            <w:tcBorders>
              <w:top w:val="single" w:sz="8" w:color="2C2C2C"/>
            </w:tcBorders>
            <w:gridSpan w:val="4"/>
          </w:tcPr>
          <w:p>
            <w:pPr>
              <w:ind w:left="12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760" w:type="dxa"/>
            <w:vAlign w:val="bottom"/>
            <w:gridSpan w:val="6"/>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60" w:type="dxa"/>
            <w:vAlign w:val="bottom"/>
          </w:tcPr>
          <w:p>
            <w:pPr>
              <w:spacing w:after="0"/>
              <w:rPr>
                <w:sz w:val="16"/>
                <w:szCs w:val="16"/>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4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00" w:type="dxa"/>
            <w:vAlign w:val="bottom"/>
            <w:gridSpan w:val="2"/>
          </w:tcPr>
          <w:p>
            <w:pPr>
              <w:ind w:left="60"/>
              <w:spacing w:after="0"/>
              <w:rPr>
                <w:sz w:val="20"/>
                <w:szCs w:val="20"/>
                <w:color w:val="auto"/>
              </w:rPr>
            </w:pPr>
            <w:r>
              <w:rPr>
                <w:rFonts w:ascii="Arial" w:cs="Arial" w:eastAsia="Arial" w:hAnsi="Arial"/>
                <w:sz w:val="18"/>
                <w:szCs w:val="18"/>
                <w:color w:val="0000FF"/>
                <w:w w:val="91"/>
              </w:rPr>
              <w:t>Options to Purchase Common Stock, par value</w:t>
            </w:r>
          </w:p>
        </w:tc>
        <w:tc>
          <w:tcPr>
            <w:tcW w:w="880" w:type="dxa"/>
            <w:vAlign w:val="bottom"/>
            <w:vMerge w:val="restart"/>
          </w:tcPr>
          <w:p>
            <w:pPr>
              <w:ind w:left="80"/>
              <w:spacing w:after="0"/>
              <w:rPr>
                <w:sz w:val="20"/>
                <w:szCs w:val="20"/>
                <w:color w:val="auto"/>
              </w:rPr>
            </w:pPr>
            <w:r>
              <w:rPr>
                <w:rFonts w:ascii="Arial" w:cs="Arial" w:eastAsia="Arial" w:hAnsi="Arial"/>
                <w:sz w:val="14"/>
                <w:szCs w:val="14"/>
                <w:color w:val="0000FF"/>
                <w:w w:val="88"/>
              </w:rPr>
              <w:t>09/29/2017</w:t>
            </w:r>
            <w:r>
              <w:rPr>
                <w:rFonts w:ascii="Arial" w:cs="Arial" w:eastAsia="Arial" w:hAnsi="Arial"/>
                <w:sz w:val="22"/>
                <w:szCs w:val="22"/>
                <w:color w:val="008000"/>
                <w:w w:val="88"/>
                <w:vertAlign w:val="superscript"/>
              </w:rPr>
              <w:t>(1)</w:t>
            </w:r>
          </w:p>
        </w:tc>
        <w:tc>
          <w:tcPr>
            <w:tcW w:w="900" w:type="dxa"/>
            <w:vAlign w:val="bottom"/>
            <w:vMerge w:val="restart"/>
          </w:tcPr>
          <w:p>
            <w:pPr>
              <w:ind w:left="80"/>
              <w:spacing w:after="0"/>
              <w:rPr>
                <w:sz w:val="20"/>
                <w:szCs w:val="20"/>
                <w:color w:val="auto"/>
              </w:rPr>
            </w:pPr>
            <w:r>
              <w:rPr>
                <w:rFonts w:ascii="Arial" w:cs="Arial" w:eastAsia="Arial" w:hAnsi="Arial"/>
                <w:sz w:val="14"/>
                <w:szCs w:val="14"/>
                <w:color w:val="0000FF"/>
                <w:w w:val="90"/>
              </w:rPr>
              <w:t>02/28/2026</w:t>
            </w:r>
            <w:r>
              <w:rPr>
                <w:rFonts w:ascii="Arial" w:cs="Arial" w:eastAsia="Arial" w:hAnsi="Arial"/>
                <w:sz w:val="22"/>
                <w:szCs w:val="22"/>
                <w:color w:val="008000"/>
                <w:w w:val="90"/>
                <w:vertAlign w:val="superscript"/>
              </w:rPr>
              <w:t>(1)</w:t>
            </w:r>
          </w:p>
        </w:tc>
        <w:tc>
          <w:tcPr>
            <w:tcW w:w="2000" w:type="dxa"/>
            <w:vAlign w:val="bottom"/>
          </w:tcPr>
          <w:p>
            <w:pPr>
              <w:jc w:val="center"/>
              <w:spacing w:after="0"/>
              <w:rPr>
                <w:sz w:val="20"/>
                <w:szCs w:val="20"/>
                <w:color w:val="auto"/>
              </w:rPr>
            </w:pPr>
            <w:r>
              <w:rPr>
                <w:rFonts w:ascii="Arial" w:cs="Arial" w:eastAsia="Arial" w:hAnsi="Arial"/>
                <w:sz w:val="18"/>
                <w:szCs w:val="18"/>
                <w:color w:val="0000FF"/>
                <w:w w:val="89"/>
              </w:rPr>
              <w:t>Class A Common Stock,</w:t>
            </w:r>
          </w:p>
        </w:tc>
        <w:tc>
          <w:tcPr>
            <w:tcW w:w="740" w:type="dxa"/>
            <w:vAlign w:val="bottom"/>
            <w:vMerge w:val="restart"/>
          </w:tcPr>
          <w:p>
            <w:pPr>
              <w:ind w:left="160"/>
              <w:spacing w:after="0"/>
              <w:rPr>
                <w:sz w:val="20"/>
                <w:szCs w:val="20"/>
                <w:color w:val="auto"/>
              </w:rPr>
            </w:pPr>
            <w:r>
              <w:rPr>
                <w:rFonts w:ascii="Arial" w:cs="Arial" w:eastAsia="Arial" w:hAnsi="Arial"/>
                <w:sz w:val="18"/>
                <w:szCs w:val="18"/>
                <w:color w:val="0000FF"/>
              </w:rPr>
              <w:t>13,446</w:t>
            </w:r>
          </w:p>
        </w:tc>
        <w:tc>
          <w:tcPr>
            <w:tcW w:w="880" w:type="dxa"/>
            <w:vAlign w:val="bottom"/>
            <w:vMerge w:val="restart"/>
          </w:tcPr>
          <w:p>
            <w:pPr>
              <w:jc w:val="right"/>
              <w:ind w:right="227"/>
              <w:spacing w:after="0"/>
              <w:rPr>
                <w:sz w:val="20"/>
                <w:szCs w:val="20"/>
                <w:color w:val="auto"/>
              </w:rPr>
            </w:pPr>
            <w:r>
              <w:rPr>
                <w:rFonts w:ascii="Arial" w:cs="Arial" w:eastAsia="Arial" w:hAnsi="Arial"/>
                <w:sz w:val="18"/>
                <w:szCs w:val="18"/>
                <w:color w:val="0000FF"/>
              </w:rPr>
              <w:t>9.23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160" w:type="dxa"/>
            <w:vAlign w:val="bottom"/>
            <w:gridSpan w:val="2"/>
            <w:vMerge w:val="restart"/>
          </w:tcPr>
          <w:p>
            <w:pPr>
              <w:ind w:left="80"/>
              <w:spacing w:after="0"/>
              <w:rPr>
                <w:sz w:val="20"/>
                <w:szCs w:val="20"/>
                <w:color w:val="auto"/>
              </w:rPr>
            </w:pPr>
            <w:r>
              <w:rPr>
                <w:rFonts w:ascii="Arial" w:cs="Arial" w:eastAsia="Arial" w:hAnsi="Arial"/>
                <w:sz w:val="18"/>
                <w:szCs w:val="18"/>
                <w:color w:val="0000FF"/>
              </w:rPr>
              <w:t>$0.001</w:t>
            </w: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0000FF"/>
                <w:w w:val="87"/>
              </w:rPr>
              <w:t>par value $0.001</w:t>
            </w:r>
          </w:p>
        </w:tc>
        <w:tc>
          <w:tcPr>
            <w:tcW w:w="7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16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rPr>
              <w:t>Restricted Stock Units</w:t>
            </w:r>
          </w:p>
        </w:tc>
        <w:tc>
          <w:tcPr>
            <w:tcW w:w="360" w:type="dxa"/>
            <w:vAlign w:val="bottom"/>
          </w:tcPr>
          <w:p>
            <w:pPr>
              <w:spacing w:after="0"/>
              <w:rPr>
                <w:sz w:val="22"/>
                <w:szCs w:val="22"/>
                <w:color w:val="auto"/>
              </w:rPr>
            </w:pPr>
          </w:p>
        </w:tc>
        <w:tc>
          <w:tcPr>
            <w:tcW w:w="880" w:type="dxa"/>
            <w:vAlign w:val="bottom"/>
            <w:vMerge w:val="restart"/>
          </w:tcPr>
          <w:p>
            <w:pPr>
              <w:ind w:left="80"/>
              <w:spacing w:after="0"/>
              <w:rPr>
                <w:sz w:val="20"/>
                <w:szCs w:val="20"/>
                <w:color w:val="auto"/>
              </w:rPr>
            </w:pPr>
            <w:r>
              <w:rPr>
                <w:rFonts w:ascii="Arial" w:cs="Arial" w:eastAsia="Arial" w:hAnsi="Arial"/>
                <w:sz w:val="14"/>
                <w:szCs w:val="14"/>
                <w:color w:val="0000FF"/>
                <w:w w:val="88"/>
              </w:rPr>
              <w:t>11/28/2017</w:t>
            </w:r>
            <w:r>
              <w:rPr>
                <w:rFonts w:ascii="Arial" w:cs="Arial" w:eastAsia="Arial" w:hAnsi="Arial"/>
                <w:sz w:val="22"/>
                <w:szCs w:val="22"/>
                <w:color w:val="008000"/>
                <w:w w:val="88"/>
                <w:vertAlign w:val="superscript"/>
              </w:rPr>
              <w:t>(2)</w:t>
            </w:r>
          </w:p>
        </w:tc>
        <w:tc>
          <w:tcPr>
            <w:tcW w:w="900" w:type="dxa"/>
            <w:vAlign w:val="bottom"/>
            <w:vMerge w:val="restart"/>
          </w:tcPr>
          <w:p>
            <w:pPr>
              <w:ind w:left="80"/>
              <w:spacing w:after="0"/>
              <w:rPr>
                <w:sz w:val="20"/>
                <w:szCs w:val="20"/>
                <w:color w:val="auto"/>
              </w:rPr>
            </w:pPr>
            <w:r>
              <w:rPr>
                <w:rFonts w:ascii="Arial" w:cs="Arial" w:eastAsia="Arial" w:hAnsi="Arial"/>
                <w:sz w:val="14"/>
                <w:szCs w:val="14"/>
                <w:color w:val="0000FF"/>
                <w:w w:val="90"/>
              </w:rPr>
              <w:t>02/28/2018</w:t>
            </w:r>
            <w:r>
              <w:rPr>
                <w:rFonts w:ascii="Arial" w:cs="Arial" w:eastAsia="Arial" w:hAnsi="Arial"/>
                <w:sz w:val="22"/>
                <w:szCs w:val="22"/>
                <w:color w:val="008000"/>
                <w:w w:val="90"/>
                <w:vertAlign w:val="superscript"/>
              </w:rPr>
              <w:t>(2)</w:t>
            </w:r>
          </w:p>
        </w:tc>
        <w:tc>
          <w:tcPr>
            <w:tcW w:w="2000" w:type="dxa"/>
            <w:vAlign w:val="bottom"/>
          </w:tcPr>
          <w:p>
            <w:pPr>
              <w:jc w:val="center"/>
              <w:spacing w:after="0"/>
              <w:rPr>
                <w:sz w:val="20"/>
                <w:szCs w:val="20"/>
                <w:color w:val="auto"/>
              </w:rPr>
            </w:pPr>
            <w:r>
              <w:rPr>
                <w:rFonts w:ascii="Arial" w:cs="Arial" w:eastAsia="Arial" w:hAnsi="Arial"/>
                <w:sz w:val="18"/>
                <w:szCs w:val="18"/>
                <w:color w:val="0000FF"/>
                <w:w w:val="89"/>
              </w:rPr>
              <w:t>Class A Common Stock,</w:t>
            </w:r>
          </w:p>
        </w:tc>
        <w:tc>
          <w:tcPr>
            <w:tcW w:w="740" w:type="dxa"/>
            <w:vAlign w:val="bottom"/>
            <w:vMerge w:val="restart"/>
          </w:tcPr>
          <w:p>
            <w:pPr>
              <w:ind w:left="160"/>
              <w:spacing w:after="0"/>
              <w:rPr>
                <w:sz w:val="20"/>
                <w:szCs w:val="20"/>
                <w:color w:val="auto"/>
              </w:rPr>
            </w:pPr>
            <w:r>
              <w:rPr>
                <w:rFonts w:ascii="Arial" w:cs="Arial" w:eastAsia="Arial" w:hAnsi="Arial"/>
                <w:sz w:val="18"/>
                <w:szCs w:val="18"/>
                <w:color w:val="0000FF"/>
              </w:rPr>
              <w:t>12,664</w:t>
            </w:r>
          </w:p>
        </w:tc>
        <w:tc>
          <w:tcPr>
            <w:tcW w:w="880" w:type="dxa"/>
            <w:vAlign w:val="bottom"/>
            <w:vMerge w:val="restart"/>
          </w:tcPr>
          <w:p>
            <w:pPr>
              <w:jc w:val="right"/>
              <w:ind w:right="327"/>
              <w:spacing w:after="0"/>
              <w:rPr>
                <w:sz w:val="20"/>
                <w:szCs w:val="20"/>
                <w:color w:val="auto"/>
              </w:rPr>
            </w:pPr>
            <w:r>
              <w:rPr>
                <w:rFonts w:ascii="Arial" w:cs="Arial" w:eastAsia="Arial" w:hAnsi="Arial"/>
                <w:sz w:val="18"/>
                <w:szCs w:val="18"/>
                <w:color w:val="0000FF"/>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0000FF"/>
                <w:w w:val="87"/>
              </w:rPr>
              <w:t>par value $0.001</w:t>
            </w:r>
          </w:p>
        </w:tc>
        <w:tc>
          <w:tcPr>
            <w:tcW w:w="7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fully vested stock options.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restricted stock units that vest in two equal installments (50%) on each of November 28, 2017 and February 28, 2018, subject to continued service.</w:t>
      </w:r>
    </w:p>
    <w:p>
      <w:pPr>
        <w:ind w:left="6860"/>
        <w:spacing w:after="0" w:line="184" w:lineRule="auto"/>
        <w:rPr>
          <w:sz w:val="20"/>
          <w:szCs w:val="20"/>
          <w:color w:val="auto"/>
        </w:rPr>
      </w:pPr>
      <w:r>
        <w:rPr>
          <w:rFonts w:ascii="Arial" w:cs="Arial" w:eastAsia="Arial" w:hAnsi="Arial"/>
          <w:sz w:val="17"/>
          <w:szCs w:val="17"/>
          <w:color w:val="0000FF"/>
        </w:rPr>
        <w:t xml:space="preserve">Tanya M. Stanich as Attorney-  </w:t>
      </w:r>
      <w:r>
        <w:rPr>
          <w:rFonts w:ascii="Arial" w:cs="Arial" w:eastAsia="Arial" w:hAnsi="Arial"/>
          <w:sz w:val="34"/>
          <w:szCs w:val="34"/>
          <w:color w:val="0000FF"/>
          <w:vertAlign w:val="subscript"/>
        </w:rPr>
        <w:t>10/03/2017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9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Thomas R. Evans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90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095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left="120" w:right="1779" w:firstLine="843"/>
        <w:spacing w:after="0" w:line="236" w:lineRule="auto"/>
        <w:rPr>
          <w:sz w:val="20"/>
          <w:szCs w:val="20"/>
          <w:color w:val="auto"/>
        </w:rPr>
      </w:pPr>
      <w:r>
        <w:rPr>
          <w:rFonts w:ascii="Courier New" w:cs="Courier New" w:eastAsia="Courier New" w:hAnsi="Courier New"/>
          <w:sz w:val="18"/>
          <w:szCs w:val="18"/>
          <w:color w:val="auto"/>
        </w:rPr>
        <w:t>The undersigned hereby constitutes and appoints each of Joanne Hawkins, Tanya M. Stanich and Lee Spiegler, signing singly, as the undersigned's true and lawful attorney-in-fact to:</w:t>
      </w:r>
    </w:p>
    <w:p>
      <w:pPr>
        <w:spacing w:after="0" w:line="209" w:lineRule="exact"/>
        <w:rPr>
          <w:sz w:val="20"/>
          <w:szCs w:val="20"/>
          <w:color w:val="auto"/>
        </w:rPr>
      </w:pPr>
    </w:p>
    <w:p>
      <w:pPr>
        <w:jc w:val="both"/>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of ANGI Homeservices Inc. (the "Company"), Forms 3, 4 and 5 in accordance with Section 16(a) of the Securities Exchange Act of 1934, as amended, and the rules thereunder (the "Exchange Act"), and Form ID to obtain and/or renew EDGAR codes, passwords and/or passphrases for use in connection with the filing of Forms 3, 4 and 5;</w:t>
      </w:r>
    </w:p>
    <w:p>
      <w:pPr>
        <w:spacing w:after="0" w:line="211"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ID, complete and execute any amendment or amendments thereto, and timely file such forms with the United States Securities and Exchange Commission and any stock exchange or similar authority;</w:t>
      </w:r>
    </w:p>
    <w:p>
      <w:pPr>
        <w:spacing w:after="0" w:line="209"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and</w:t>
      </w:r>
    </w:p>
    <w:p>
      <w:pPr>
        <w:spacing w:after="0" w:line="212"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attorney-in-fact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spacing w:after="0" w:line="211" w:lineRule="exact"/>
        <w:rPr>
          <w:sz w:val="20"/>
          <w:szCs w:val="20"/>
          <w:color w:val="auto"/>
        </w:rPr>
      </w:pPr>
    </w:p>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connection with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jc w:val="both"/>
        <w:ind w:left="120" w:right="17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left="120" w:right="1779" w:firstLine="843"/>
        <w:spacing w:after="0" w:line="238" w:lineRule="auto"/>
        <w:rPr>
          <w:sz w:val="20"/>
          <w:szCs w:val="20"/>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 Additionally, although pursuant to this Power of Attorney the Company will use commercially reasonable best efforts to timely and accurately file Section 16 reports on behalf of the undersigned, the Company does not represent or warrant that it will be able to in all cases timely and accurately file Section 16 reports on behalf of the undersigned due to various factors, including, but not limited to, the shorter deadlines mandated by the Sarbanes-Oxley Act of 2002, possible time zone differences between the Company and the undersigned and the Company's need to rely on other parties for information, including the undersigned and brokers of the undersigned.</w:t>
      </w:r>
    </w:p>
    <w:p>
      <w:pPr>
        <w:spacing w:after="0" w:line="207" w:lineRule="exact"/>
        <w:rPr>
          <w:sz w:val="20"/>
          <w:szCs w:val="20"/>
          <w:color w:val="auto"/>
        </w:rPr>
      </w:pPr>
    </w:p>
    <w:p>
      <w:pPr>
        <w:jc w:val="both"/>
        <w:ind w:left="120"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had caused this Power of Attorney to be executed as of this 15th day of September 2017.</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Thomas R. Evans</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 Thomas R. Evans</w:t>
      </w:r>
    </w:p>
    <w:sectPr>
      <w:pgSz w:w="11900" w:h="16838" w:orient="portrait"/>
      <w:cols w:equalWidth="0" w:num="1">
        <w:col w:w="10219"/>
      </w:cols>
      <w:pgMar w:left="240" w:top="136" w:right="1440" w:bottom="5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100613" TargetMode="External"/><Relationship Id="rId12" Type="http://schemas.openxmlformats.org/officeDocument/2006/relationships/hyperlink" Target="http://www.sec.gov/cgi-bin/browse-edgar?action=getcompany&amp;CIK=00017051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2019-12-23T22:29:20Z</dcterms:created>
  <dcterms:modified xsi:type="dcterms:W3CDTF">2019-12-23T22:29:20Z</dcterms:modified>
</cp:coreProperties>
</file>