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7,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Angi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1388" w:right="319" w:bottom="1440" w:gutter="0" w:footer="0" w:header="0"/>
        </w:sectPr>
      </w:pPr>
    </w:p>
    <w:p>
      <w:pPr>
        <w:spacing w:after="0" w:line="25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001-38220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82-1204801</w:t>
      </w:r>
    </w:p>
    <w:p>
      <w:pPr>
        <w:spacing w:after="0" w:line="81" w:lineRule="exact"/>
        <w:rPr>
          <w:sz w:val="24"/>
          <w:szCs w:val="24"/>
          <w:color w:val="auto"/>
        </w:rPr>
      </w:pPr>
    </w:p>
    <w:p>
      <w:pPr>
        <w:sectPr>
          <w:pgSz w:w="11900" w:h="16838" w:orient="portrait"/>
          <w:cols w:equalWidth="0" w:num="3">
            <w:col w:w="5060" w:space="720"/>
            <w:col w:w="3000" w:space="720"/>
            <w:col w:w="1760"/>
          </w:cols>
          <w:pgMar w:left="320" w:top="1388" w:right="319" w:bottom="1440" w:gutter="0" w:footer="0" w:header="0"/>
          <w:type w:val="continuous"/>
        </w:sectPr>
      </w:pPr>
    </w:p>
    <w:p>
      <w:pPr>
        <w:jc w:val="center"/>
        <w:ind w:right="14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960" w:space="720"/>
            <w:col w:w="2860" w:space="720"/>
            <w:col w:w="2000"/>
          </w:cols>
          <w:pgMar w:left="320" w:top="1388" w:right="319" w:bottom="1440" w:gutter="0" w:footer="0" w:header="0"/>
          <w:type w:val="continuous"/>
        </w:sectPr>
      </w:pPr>
    </w:p>
    <w:p>
      <w:pPr>
        <w:spacing w:after="0" w:line="30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3601 Walnut Street, Suite 700</w:t>
      </w:r>
    </w:p>
    <w:p>
      <w:pPr>
        <w:sectPr>
          <w:pgSz w:w="11900" w:h="16838" w:orient="portrait"/>
          <w:cols w:equalWidth="0" w:num="1">
            <w:col w:w="11260"/>
          </w:cols>
          <w:pgMar w:left="320" w:top="1388" w:right="31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Denver, CO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80205</w:t>
      </w:r>
    </w:p>
    <w:p>
      <w:pPr>
        <w:spacing w:after="0" w:line="92" w:lineRule="exact"/>
        <w:rPr>
          <w:sz w:val="24"/>
          <w:szCs w:val="24"/>
          <w:color w:val="auto"/>
        </w:rPr>
      </w:pPr>
    </w:p>
    <w:p>
      <w:pPr>
        <w:sectPr>
          <w:pgSz w:w="11900" w:h="16838" w:orient="portrait"/>
          <w:cols w:equalWidth="0" w:num="2">
            <w:col w:w="7780" w:space="720"/>
            <w:col w:w="2760"/>
          </w:cols>
          <w:pgMar w:left="320" w:top="1388" w:right="31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600" w:space="720"/>
            <w:col w:w="2940"/>
          </w:cols>
          <w:pgMar w:left="320" w:top="1388" w:right="319" w:bottom="1440" w:gutter="0" w:footer="0" w:header="0"/>
          <w:type w:val="continuous"/>
        </w:sectPr>
      </w:pPr>
    </w:p>
    <w:p>
      <w:pPr>
        <w:spacing w:after="0" w:line="2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963-7200</w:t>
      </w:r>
    </w:p>
    <w:p>
      <w:pPr>
        <w:spacing w:after="0" w:line="12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w:t>
            </w: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3"/>
        </w:trPr>
        <w:tc>
          <w:tcPr>
            <w:tcW w:w="42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400"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88"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January 7, 2026, Angi Inc. (the “Company”) announced a reduction of its global workforce by approximately 350 employees to reduce operating expenses and optimize the organizational structure in support of long-term growth and in light of AI-driven efficiency improvements.</w:t>
      </w:r>
    </w:p>
    <w:p>
      <w:pPr>
        <w:spacing w:after="0" w:line="18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As a result of the reduction in workforce, the Company estimates that it will record restructuring charges split between the fourth quarter of 2025 and the first quarter of 2026 of approximately $22 million to $30 million in total, primarily consisting of severance payments, employee benefits and related costs, all of which are anticipated to result in cash expenditures. The reduction in workforce is expected to be substantially complete during the first quarter of 2026. The Company intends to exclude the restructuring charges from its non-GAAP financial measures, including Adjusted EBITDA. The Company estimates that the reduction in workforce and related actions will result in between $70 million and $80 million of annual run-rate savings in operating expenses and capital expenditures.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 use of words such as “will,” “estimate,” “anticipate,” “intend” and “expect” among others, as well as the negatives thereof, generally identifies forward-looking statements. These forward-looking statements include, among others, statements relating to the timing of the reduction in workforce, the estimated charges and cash expenditures expected to be incurred and the timing thereof, anticipated savings in operating expense and capital expenditures and the planned adjustment of the Company’s financial measures. Forward-looking statements are subject to risks, uncertainties and assumptions that may cause actual results to differ materially from those described herein. These risks and uncertainties include, among other things, the Company’s ability to implement the reduction in workforce in various jurisdictions. In particular, the estimated charges associated with the reduction in workforce, and the timing thereof, are subject to a number of assumptions, including local law requirements in various jurisdictions. The actual charges incurred may differ materially from the estimate disclosed herein. For a discussion of additional risks and uncertainties, see “Risk Factors” contained in the Company’s Annual Report on Form 10-K, filed with the Securities and Exchange Commission (the “SEC”) on February 18, 2025 and subsequent reports that the Company filed with the SEC. Forward-looking statements speak only as of the date made and the Company undertakes no duty to update the information except as required by applicable law.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292" w:right="339" w:bottom="1440" w:gutter="0" w:footer="0" w:header="0"/>
        </w:sectPr>
      </w:pPr>
    </w:p>
    <w:p>
      <w:pPr>
        <w:spacing w:after="0" w:line="53"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4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91" w:lineRule="exact"/>
        <w:rPr>
          <w:sz w:val="20"/>
          <w:szCs w:val="20"/>
          <w:color w:val="auto"/>
        </w:rPr>
      </w:pPr>
    </w:p>
    <w:p>
      <w:pPr>
        <w:sectPr>
          <w:pgSz w:w="11900" w:h="16838" w:orient="portrait"/>
          <w:cols w:equalWidth="0" w:num="2">
            <w:col w:w="4960" w:space="720"/>
            <w:col w:w="5560"/>
          </w:cols>
          <w:pgMar w:left="320" w:top="1292"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104 Cover Page Interactive Data File (embedded within the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ANGI INC.</w:t>
            </w:r>
          </w:p>
        </w:tc>
        <w:tc>
          <w:tcPr>
            <w:tcW w:w="3260" w:type="dxa"/>
            <w:vAlign w:val="bottom"/>
          </w:tcPr>
          <w:p>
            <w:pPr>
              <w:spacing w:after="0"/>
              <w:rPr>
                <w:sz w:val="20"/>
                <w:szCs w:val="20"/>
                <w:color w:val="auto"/>
              </w:rPr>
            </w:pPr>
          </w:p>
        </w:tc>
      </w:tr>
      <w:tr>
        <w:trPr>
          <w:trHeight w:val="53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M. Shaw</w:t>
            </w: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Shaw</w:t>
            </w: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January 7, 2026</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2026-01-07T15:32:26Z</dcterms:created>
  <dcterms:modified xsi:type="dcterms:W3CDTF">2026-01-07T15:32:26Z</dcterms:modified>
</cp:coreProperties>
</file>