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pPr>
      <w:r>
        <w:rPr>
          <w:rFonts w:ascii="Times New Roman;serif" w:hAnsi="Times New Roman;serif"/>
          <w:b w:val="false"/>
          <w:color w:val="000000"/>
          <w:sz w:val="20"/>
          <w:shd w:fill="FFFFFF" w:val="clear"/>
        </w:rPr>
        <w:t>Date of Report (Date of earliest event reported): </w:t>
      </w:r>
      <w:r>
        <w:rPr>
          <w:rFonts w:ascii="Times New Roman;serif" w:hAnsi="Times New Roman;serif"/>
          <w:b/>
          <w:color w:val="000000"/>
          <w:sz w:val="20"/>
          <w:shd w:fill="FFFFFF" w:val="clear"/>
        </w:rPr>
        <w:t>July 2, 2026</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Angi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charter)</w:t>
      </w:r>
    </w:p>
    <w:p>
      <w:pPr>
        <w:pStyle w:val="TextBody"/>
        <w:bidi w:val="0"/>
        <w:spacing w:lineRule="auto" w:line="288" w:before="0" w:after="0"/>
        <w:jc w:val="center"/>
        <w:rPr>
          <w:color w:val="000000"/>
          <w:shd w:fill="FFFFFF" w:val="clear"/>
        </w:rPr>
      </w:pPr>
      <w:r>
        <w:rPr>
          <w:color w:val="000000"/>
          <w:shd w:fill="FFFFFF" w:val="clear"/>
        </w:rPr>
        <w:t> </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001-38220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82-1204801</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left"/>
        <w:rPr>
          <w:color w:val="000000"/>
          <w:shd w:fill="FFFFFF" w:val="clear"/>
        </w:rPr>
      </w:pPr>
      <w:r>
        <w:rPr>
          <w:color w:val="000000"/>
          <w:shd w:fill="FFFFFF" w:val="clear"/>
        </w:rPr>
        <w:t> </w:t>
      </w:r>
    </w:p>
    <w:tbl>
      <w:tblPr>
        <w:tblW w:w="4660" w:type="dxa"/>
        <w:jc w:val="left"/>
        <w:tblInd w:w="0" w:type="dxa"/>
        <w:tblLayout w:type="fixed"/>
        <w:tblCellMar>
          <w:top w:w="28" w:type="dxa"/>
          <w:left w:w="28" w:type="dxa"/>
          <w:bottom w:w="28" w:type="dxa"/>
          <w:right w:w="28" w:type="dxa"/>
        </w:tblCellMar>
      </w:tblPr>
      <w:tblGrid>
        <w:gridCol w:w="784"/>
        <w:gridCol w:w="689"/>
        <w:gridCol w:w="691"/>
        <w:gridCol w:w="377"/>
        <w:gridCol w:w="377"/>
        <w:gridCol w:w="380"/>
        <w:gridCol w:w="109"/>
        <w:gridCol w:w="109"/>
        <w:gridCol w:w="109"/>
        <w:gridCol w:w="303"/>
        <w:gridCol w:w="303"/>
        <w:gridCol w:w="429"/>
      </w:tblGrid>
      <w:tr>
        <w:trPr/>
        <w:tc>
          <w:tcPr>
            <w:tcW w:w="7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3601 Walnut Street,</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 </w:t>
            </w:r>
            <w:r>
              <w:rPr>
                <w:rFonts w:ascii="Times New Roman;serif" w:hAnsi="Times New Roman;serif"/>
                <w:b/>
                <w:color w:val="000000"/>
                <w:sz w:val="20"/>
              </w:rPr>
              <w:t>Suite 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Denver,</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80205</w:t>
            </w:r>
          </w:p>
        </w:tc>
      </w:tr>
      <w:tr>
        <w:trPr/>
        <w:tc>
          <w:tcPr>
            <w:tcW w:w="3298" w:type="dxa"/>
            <w:gridSpan w:val="6"/>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120"/>
        <w:jc w:val="center"/>
        <w:rPr/>
      </w:pPr>
      <w:r>
        <w:rPr>
          <w:rFonts w:ascii="Times New Roman;serif" w:hAnsi="Times New Roman;serif"/>
          <w:b w:val="false"/>
          <w:color w:val="000000"/>
          <w:sz w:val="20"/>
          <w:shd w:fill="FFFFFF" w:val="clear"/>
        </w:rPr>
        <w:t>Registrant’s telephone number, including area code: </w:t>
      </w:r>
      <w:r>
        <w:rPr>
          <w:rFonts w:ascii="Times New Roman;serif" w:hAnsi="Times New Roman;serif"/>
          <w:b/>
          <w:color w:val="000000"/>
          <w:sz w:val="20"/>
          <w:shd w:fill="FFFFFF" w:val="clear"/>
        </w:rPr>
        <w:t>(303) 963-7200</w:t>
      </w:r>
      <w:r>
        <w:rPr>
          <w:color w:val="000000"/>
          <w:shd w:fill="FFFFFF" w:val="clear"/>
        </w:rPr>
        <w:t> </w:t>
      </w:r>
    </w:p>
    <w:p>
      <w:pPr>
        <w:pStyle w:val="TextBody"/>
        <w:bidi w:val="0"/>
        <w:spacing w:lineRule="auto" w:line="288" w:before="0" w:after="12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lineRule="auto" w:line="288" w:before="0" w:after="60"/>
        <w:jc w:val="center"/>
        <w:rPr>
          <w:color w:val="000000"/>
          <w:shd w:fill="FFFFFF" w:val="clear"/>
        </w:rPr>
      </w:pPr>
      <w:r>
        <w:rPr>
          <w:color w:val="000000"/>
          <w:shd w:fill="FFFFFF" w:val="clear"/>
        </w:rPr>
        <w:t> </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lineRule="auto" w:line="288" w:before="0" w:after="12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Written communications pursuant to Rule 425 under the Securities Act (17 CFR 230.425)</w:t>
      </w:r>
    </w:p>
    <w:p>
      <w:pPr>
        <w:pStyle w:val="TextBody"/>
        <w:bidi w:val="0"/>
        <w:spacing w:lineRule="auto" w:line="288" w:before="0" w:after="120"/>
        <w:ind w:left="0" w:right="0" w:hanging="36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Soliciting material pursuant to Rule 14a-12 under the Exchange Act (17 CFR 240.14a-12)</w:t>
      </w:r>
    </w:p>
    <w:p>
      <w:pPr>
        <w:pStyle w:val="TextBody"/>
        <w:bidi w:val="0"/>
        <w:spacing w:lineRule="auto" w:line="288" w:before="0" w:after="12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Pre-commencement communications pursuant to Rule 14d-2(b) under the Exchange Act (17 CFR 240.14d-2(b))</w:t>
      </w:r>
    </w:p>
    <w:p>
      <w:pPr>
        <w:pStyle w:val="TextBody"/>
        <w:bidi w:val="0"/>
        <w:spacing w:lineRule="auto" w:line="288" w:before="0" w:after="12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Pre-commencement communications pursuant to Rule 13e-4(c) under the Exchange Act (17 CFR 240.13e-4(c))</w:t>
      </w:r>
    </w:p>
    <w:p>
      <w:pPr>
        <w:pStyle w:val="TextBody"/>
        <w:bidi w:val="0"/>
        <w:spacing w:before="0" w:after="120"/>
        <w:jc w:val="left"/>
        <w:rPr/>
      </w:pPr>
      <w:r>
        <w:rPr/>
      </w:r>
    </w:p>
    <w:p>
      <w:pPr>
        <w:pStyle w:val="TextBody"/>
        <w:bidi w:val="0"/>
        <w:spacing w:lineRule="auto" w:line="300" w:before="0" w:after="2"/>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6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ANGI</w:t>
            </w:r>
          </w:p>
        </w:tc>
        <w:tc>
          <w:tcPr>
            <w:tcW w:w="37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76" w:before="0" w:after="0"/>
        <w:jc w:val="left"/>
        <w:rPr/>
      </w:pPr>
      <w:r>
        <w:rPr>
          <w:rFonts w:ascii="Times New Roman;serif" w:hAnsi="Times New Roman;serif"/>
          <w:b/>
          <w:color w:val="000000"/>
          <w:sz w:val="20"/>
          <w:shd w:fill="FFFFFF" w:val="clear"/>
        </w:rPr>
        <w:t>Item 5.02</w:t>
      </w:r>
      <w:r>
        <w:rPr>
          <w:color w:val="000000"/>
        </w:rPr>
        <w:t xml:space="preserve">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Departure of Chief Accounting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 2026, Austin Kaplicer, Chief Accounting Officer and principal accounting officer of Angi Inc. (the “Company”), notified the Company of his decision to resign, effective as of August 6, 2026. Mr. Kaplicer has agreed to remain in his position through the effective date to oversee the Company’s second quarter 2026 earnings materials and Quarterly Report on Form 10-Q. Effective as of August 6, 2026, the Company has promoted Scott Jakalow, Vice President, SEC Reporting, Technical Accounting and Revenue, as the Company’s Chief Accounting Officer.</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Mr. Kaplicer’s resignation is due to a personal decision to pursue another opportunity in a different industry and is not the result of any disagreement with the Company on any matters, including matters relating to the Company’s financial statements, internal control over financial reporting, operations, policies or practices.</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Designation of Principal Accounting Officer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as of August 6, 2026, the Company’s board of directors has designated Julie Hoarau, the Company’s Chief Financial Officer and principal financial officer, as the Company’s principal accounting officer. </w:t>
      </w:r>
    </w:p>
    <w:p>
      <w:pPr>
        <w:pStyle w:val="TextBody"/>
        <w:bidi w:val="0"/>
        <w:spacing w:before="0" w:after="2"/>
        <w:jc w:val="left"/>
        <w:rPr/>
      </w:pPr>
      <w:r>
        <w:rPr/>
      </w:r>
    </w:p>
    <w:p>
      <w:pPr>
        <w:pStyle w:val="TextBody"/>
        <w:bidi w:val="0"/>
        <w:spacing w:lineRule="auto" w:line="300" w:before="0" w:after="2"/>
        <w:jc w:val="left"/>
        <w:rPr/>
      </w:pPr>
      <w:r>
        <w:rPr>
          <w:rFonts w:ascii="Times New Roman;serif" w:hAnsi="Times New Roman;serif"/>
          <w:b w:val="false"/>
          <w:color w:val="000000"/>
          <w:sz w:val="20"/>
        </w:rPr>
        <w:t xml:space="preserve">Descriptions of the material terms of Ms. Hoarau’s employment agreement and Ms. Hoarau’s biographical information were previously included in the Company’s Current Report on </w:t>
      </w:r>
      <w:hyperlink r:id="rId2">
        <w:r>
          <w:rPr>
            <w:rStyle w:val="InternetLink"/>
            <w:rFonts w:ascii="Times New Roman;serif" w:hAnsi="Times New Roman;serif"/>
            <w:b w:val="false"/>
            <w:color w:val="0000FF"/>
            <w:sz w:val="20"/>
            <w:u w:val="single"/>
          </w:rPr>
          <w:t>Form 8-K</w:t>
        </w:r>
      </w:hyperlink>
      <w:r>
        <w:rPr>
          <w:color w:val="000000"/>
        </w:rPr>
        <w:t xml:space="preserve"> </w:t>
      </w:r>
      <w:r>
        <w:rPr>
          <w:rFonts w:ascii="Times New Roman;serif" w:hAnsi="Times New Roman;serif"/>
          <w:b w:val="false"/>
          <w:color w:val="000000"/>
          <w:sz w:val="20"/>
        </w:rPr>
        <w:t xml:space="preserve">filed on March 12, 2026, which descriptions are incorporated herein by reference. There is no arrangement or understanding between Ms. Hoarau and any other persons pursuant to which Ms. Hoarau was designated as principal accounting officer of the Company, nor are there any family relationships between Ms. Hoarau and any director, executive officer or person nominated or chosen by the Company to become a director or executive officer of the Company within the meaning of Item 401(d) of Regulation S-K. In addition, there are no transactions involving Ms. Hoarau that require disclosure under Item 404(a) of Regulation S-K.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6495" w:type="dxa"/>
        <w:jc w:val="left"/>
        <w:tblInd w:w="0" w:type="dxa"/>
        <w:tblLayout w:type="fixed"/>
        <w:tblCellMar>
          <w:top w:w="28" w:type="dxa"/>
          <w:left w:w="28" w:type="dxa"/>
          <w:bottom w:w="28" w:type="dxa"/>
          <w:right w:w="28" w:type="dxa"/>
        </w:tblCellMar>
      </w:tblPr>
      <w:tblGrid>
        <w:gridCol w:w="272"/>
        <w:gridCol w:w="239"/>
        <w:gridCol w:w="240"/>
        <w:gridCol w:w="1678"/>
        <w:gridCol w:w="1678"/>
        <w:gridCol w:w="2388"/>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w:t>
            </w:r>
          </w:p>
        </w:tc>
        <w:tc>
          <w:tcPr>
            <w:tcW w:w="57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7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76"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485" w:type="dxa"/>
        <w:jc w:val="left"/>
        <w:tblInd w:w="0" w:type="dxa"/>
        <w:tblLayout w:type="fixed"/>
        <w:tblCellMar>
          <w:top w:w="28" w:type="dxa"/>
          <w:left w:w="28" w:type="dxa"/>
          <w:bottom w:w="28" w:type="dxa"/>
          <w:right w:w="28" w:type="dxa"/>
        </w:tblCellMar>
      </w:tblPr>
      <w:tblGrid>
        <w:gridCol w:w="679"/>
        <w:gridCol w:w="597"/>
        <w:gridCol w:w="599"/>
        <w:gridCol w:w="233"/>
        <w:gridCol w:w="197"/>
        <w:gridCol w:w="200"/>
        <w:gridCol w:w="578"/>
        <w:gridCol w:w="578"/>
        <w:gridCol w:w="82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ANGI INC.</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8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/s/ Shannon M. Shaw</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Shannon M. Shaw</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80" w:type="dxa"/>
            <w:gridSpan w:val="3"/>
            <w:tcBorders/>
            <w:tcMar>
              <w:top w:w="0" w:type="dxa"/>
              <w:left w:w="0" w:type="dxa"/>
              <w:bottom w:w="0" w:type="dxa"/>
              <w:right w:w="0" w:type="dxa"/>
            </w:tcMar>
            <w:vAlign w:val="center"/>
          </w:tcPr>
          <w:p>
            <w:pPr>
              <w:pStyle w:val="TableContents"/>
              <w:bidi w:val="0"/>
              <w:spacing w:lineRule="auto" w:line="276" w:before="0" w:after="2"/>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r>
        <w:trPr/>
        <w:tc>
          <w:tcPr>
            <w:tcW w:w="1875" w:type="dxa"/>
            <w:gridSpan w:val="3"/>
            <w:tcBorders/>
            <w:tcMar>
              <w:top w:w="0" w:type="dxa"/>
              <w:left w:w="0" w:type="dxa"/>
              <w:bottom w:w="0" w:type="dxa"/>
              <w:right w:w="0" w:type="dxa"/>
            </w:tcMar>
            <w:vAlign w:val="center"/>
          </w:tcPr>
          <w:p>
            <w:pPr>
              <w:pStyle w:val="TableContents"/>
              <w:bidi w:val="0"/>
              <w:spacing w:lineRule="auto" w:line="276" w:before="0" w:after="2"/>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Date: July 9, 2026</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705110/000170511026000023/angi-20260306.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3879</Characters>
  <CharactersWithSpaces>4530</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