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3"/>
          <w:szCs w:val="23"/>
          <w:color w:val="auto"/>
        </w:rPr>
        <w:t>SEC Form 3</w:t>
      </w:r>
    </w:p>
    <w:tbl>
      <w:tblPr>
        <w:tblLayout w:type="fixed"/>
        <w:tblInd w:w="620" w:type="dxa"/>
        <w:tblCellMar>
          <w:top w:w="0" w:type="dxa"/>
          <w:left w:w="0" w:type="dxa"/>
          <w:bottom w:w="0" w:type="dxa"/>
          <w:right w:w="0" w:type="dxa"/>
        </w:tblCellMar>
      </w:tblPr>
      <w:tr>
        <w:trPr>
          <w:trHeight w:val="298"/>
        </w:trPr>
        <w:tc>
          <w:tcPr>
            <w:tcW w:w="1640" w:type="dxa"/>
            <w:vAlign w:val="bottom"/>
          </w:tcPr>
          <w:p>
            <w:pPr>
              <w:spacing w:after="0"/>
              <w:rPr>
                <w:sz w:val="20"/>
                <w:szCs w:val="20"/>
                <w:color w:val="auto"/>
              </w:rPr>
            </w:pPr>
            <w:r>
              <w:rPr>
                <w:rFonts w:ascii="Arial" w:cs="Arial" w:eastAsia="Arial" w:hAnsi="Arial"/>
                <w:sz w:val="26"/>
                <w:szCs w:val="26"/>
                <w:b w:val="1"/>
                <w:bCs w:val="1"/>
                <w:color w:val="auto"/>
              </w:rPr>
              <w:t>FORM 3</w:t>
            </w:r>
          </w:p>
        </w:tc>
        <w:tc>
          <w:tcPr>
            <w:tcW w:w="6560" w:type="dxa"/>
            <w:vAlign w:val="bottom"/>
          </w:tcPr>
          <w:p>
            <w:pPr>
              <w:jc w:val="center"/>
              <w:ind w:right="41"/>
              <w:spacing w:after="0"/>
              <w:rPr>
                <w:sz w:val="20"/>
                <w:szCs w:val="20"/>
                <w:color w:val="auto"/>
              </w:rPr>
            </w:pPr>
            <w:r>
              <w:rPr>
                <w:rFonts w:ascii="Arial" w:cs="Arial" w:eastAsia="Arial" w:hAnsi="Arial"/>
                <w:sz w:val="23"/>
                <w:szCs w:val="23"/>
                <w:b w:val="1"/>
                <w:bCs w:val="1"/>
                <w:color w:val="auto"/>
                <w:w w:val="98"/>
              </w:rPr>
              <w:t>UNITED STATES SECURITIES AND EXCHANGE</w:t>
            </w: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640" w:type="dxa"/>
            <w:vAlign w:val="bottom"/>
          </w:tcPr>
          <w:p>
            <w:pPr>
              <w:spacing w:after="0"/>
              <w:rPr>
                <w:sz w:val="2"/>
                <w:szCs w:val="2"/>
                <w:color w:val="auto"/>
              </w:rPr>
            </w:pPr>
          </w:p>
        </w:tc>
        <w:tc>
          <w:tcPr>
            <w:tcW w:w="6560" w:type="dxa"/>
            <w:vAlign w:val="bottom"/>
            <w:vMerge w:val="restart"/>
          </w:tcPr>
          <w:p>
            <w:pPr>
              <w:jc w:val="center"/>
              <w:ind w:right="21"/>
              <w:spacing w:after="0"/>
              <w:rPr>
                <w:sz w:val="20"/>
                <w:szCs w:val="20"/>
                <w:color w:val="auto"/>
              </w:rPr>
            </w:pPr>
            <w:r>
              <w:rPr>
                <w:rFonts w:ascii="Arial" w:cs="Arial" w:eastAsia="Arial" w:hAnsi="Arial"/>
                <w:sz w:val="23"/>
                <w:szCs w:val="23"/>
                <w:b w:val="1"/>
                <w:bCs w:val="1"/>
                <w:color w:val="auto"/>
                <w:w w:val="98"/>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line="20" w:lineRule="exact"/>
              <w:rPr>
                <w:sz w:val="1"/>
                <w:szCs w:val="1"/>
                <w:color w:val="auto"/>
              </w:rPr>
            </w:pPr>
          </w:p>
        </w:tc>
        <w:tc>
          <w:tcPr>
            <w:tcW w:w="65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1640" w:type="dxa"/>
            <w:vAlign w:val="bottom"/>
          </w:tcPr>
          <w:p>
            <w:pPr>
              <w:spacing w:after="0"/>
              <w:rPr>
                <w:sz w:val="16"/>
                <w:szCs w:val="16"/>
                <w:color w:val="auto"/>
              </w:rPr>
            </w:pPr>
          </w:p>
        </w:tc>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2"/>
          </w:tcPr>
          <w:p>
            <w:pPr>
              <w:jc w:val="center"/>
              <w:ind w:right="40"/>
              <w:spacing w:after="0" w:line="19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43"/>
        </w:trPr>
        <w:tc>
          <w:tcPr>
            <w:tcW w:w="1640" w:type="dxa"/>
            <w:vAlign w:val="bottom"/>
          </w:tcPr>
          <w:p>
            <w:pPr>
              <w:spacing w:after="0"/>
              <w:rPr>
                <w:sz w:val="3"/>
                <w:szCs w:val="3"/>
                <w:color w:val="auto"/>
              </w:rPr>
            </w:pPr>
          </w:p>
        </w:tc>
        <w:tc>
          <w:tcPr>
            <w:tcW w:w="6560" w:type="dxa"/>
            <w:vAlign w:val="bottom"/>
            <w:vMerge w:val="restart"/>
          </w:tcPr>
          <w:p>
            <w:pPr>
              <w:jc w:val="center"/>
              <w:ind w:right="41"/>
              <w:spacing w:after="0"/>
              <w:rPr>
                <w:sz w:val="20"/>
                <w:szCs w:val="20"/>
                <w:color w:val="auto"/>
              </w:rPr>
            </w:pPr>
            <w:r>
              <w:rPr>
                <w:rFonts w:ascii="Arial" w:cs="Arial" w:eastAsia="Arial" w:hAnsi="Arial"/>
                <w:sz w:val="14"/>
                <w:szCs w:val="14"/>
                <w:color w:val="auto"/>
              </w:rPr>
              <w:t>Washington, D.C. 20549</w:t>
            </w:r>
          </w:p>
        </w:tc>
        <w:tc>
          <w:tcPr>
            <w:tcW w:w="40" w:type="dxa"/>
            <w:vAlign w:val="bottom"/>
          </w:tcPr>
          <w:p>
            <w:pPr>
              <w:spacing w:after="0"/>
              <w:rPr>
                <w:sz w:val="3"/>
                <w:szCs w:val="3"/>
                <w:color w:val="auto"/>
              </w:rPr>
            </w:pPr>
          </w:p>
        </w:tc>
        <w:tc>
          <w:tcPr>
            <w:tcW w:w="1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line="20" w:lineRule="exact"/>
              <w:rPr>
                <w:sz w:val="1"/>
                <w:szCs w:val="1"/>
                <w:color w:val="auto"/>
              </w:rPr>
            </w:pPr>
          </w:p>
        </w:tc>
        <w:tc>
          <w:tcPr>
            <w:tcW w:w="65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
        </w:trPr>
        <w:tc>
          <w:tcPr>
            <w:tcW w:w="1640" w:type="dxa"/>
            <w:vAlign w:val="bottom"/>
          </w:tcPr>
          <w:p>
            <w:pPr>
              <w:spacing w:after="0"/>
              <w:rPr>
                <w:sz w:val="5"/>
                <w:szCs w:val="5"/>
                <w:color w:val="auto"/>
              </w:rPr>
            </w:pPr>
          </w:p>
        </w:tc>
        <w:tc>
          <w:tcPr>
            <w:tcW w:w="6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99"/>
              </w:rPr>
              <w:t>OMB Number:3235-0104</w:t>
            </w:r>
          </w:p>
        </w:tc>
        <w:tc>
          <w:tcPr>
            <w:tcW w:w="0" w:type="dxa"/>
            <w:vAlign w:val="bottom"/>
          </w:tcPr>
          <w:p>
            <w:pPr>
              <w:spacing w:after="0"/>
              <w:rPr>
                <w:sz w:val="1"/>
                <w:szCs w:val="1"/>
                <w:color w:val="auto"/>
              </w:rPr>
            </w:pPr>
          </w:p>
        </w:tc>
      </w:tr>
      <w:tr>
        <w:trPr>
          <w:trHeight w:val="138"/>
        </w:trPr>
        <w:tc>
          <w:tcPr>
            <w:tcW w:w="164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5586730</wp:posOffset>
            </wp:positionH>
            <wp:positionV relativeFrom="paragraph">
              <wp:posOffset>-369570</wp:posOffset>
            </wp:positionV>
            <wp:extent cx="1340485" cy="701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701040"/>
                    </a:xfrm>
                    <a:prstGeom prst="rect">
                      <a:avLst/>
                    </a:prstGeom>
                    <a:noFill/>
                  </pic:spPr>
                </pic:pic>
              </a:graphicData>
            </a:graphic>
          </wp:anchor>
        </w:drawing>
      </w:r>
    </w:p>
    <w:p>
      <w:pPr>
        <w:sectPr>
          <w:pgSz w:w="11900" w:h="16838" w:orient="portrait"/>
          <w:cols w:equalWidth="0" w:num="1">
            <w:col w:w="10940"/>
          </w:cols>
          <w:pgMar w:left="480" w:top="229" w:right="479" w:bottom="1440" w:gutter="0" w:footer="0" w:header="0"/>
        </w:sectPr>
      </w:pPr>
    </w:p>
    <w:p>
      <w:pPr>
        <w:spacing w:after="0" w:line="69" w:lineRule="exact"/>
        <w:rPr>
          <w:sz w:val="24"/>
          <w:szCs w:val="24"/>
          <w:color w:val="auto"/>
        </w:rPr>
      </w:pPr>
    </w:p>
    <w:p>
      <w:pPr>
        <w:jc w:val="center"/>
        <w:ind w:left="2540"/>
        <w:spacing w:after="0"/>
        <w:rPr>
          <w:sz w:val="20"/>
          <w:szCs w:val="20"/>
          <w:color w:val="auto"/>
        </w:rPr>
      </w:pPr>
      <w:r>
        <w:rPr>
          <w:rFonts w:ascii="Arial" w:cs="Arial" w:eastAsia="Arial" w:hAnsi="Arial"/>
          <w:sz w:val="22"/>
          <w:szCs w:val="22"/>
          <w:b w:val="1"/>
          <w:bCs w:val="1"/>
          <w:color w:val="auto"/>
        </w:rPr>
        <w:t>INITIAL STATEMENT OF BENEFICIAL OWNERSHIP OF</w:t>
      </w:r>
    </w:p>
    <w:p>
      <w:pPr>
        <w:spacing w:after="0" w:line="30" w:lineRule="exact"/>
        <w:rPr>
          <w:sz w:val="24"/>
          <w:szCs w:val="24"/>
          <w:color w:val="auto"/>
        </w:rPr>
      </w:pPr>
    </w:p>
    <w:p>
      <w:pPr>
        <w:jc w:val="center"/>
        <w:ind w:left="2540"/>
        <w:spacing w:after="0"/>
        <w:rPr>
          <w:sz w:val="20"/>
          <w:szCs w:val="20"/>
          <w:color w:val="auto"/>
        </w:rPr>
      </w:pPr>
      <w:r>
        <w:rPr>
          <w:rFonts w:ascii="Arial" w:cs="Arial" w:eastAsia="Arial" w:hAnsi="Arial"/>
          <w:sz w:val="23"/>
          <w:szCs w:val="23"/>
          <w:b w:val="1"/>
          <w:bCs w:val="1"/>
          <w:color w:val="auto"/>
        </w:rPr>
        <w:t>SECURITIES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580" w:type="dxa"/>
            <w:vAlign w:val="bottom"/>
          </w:tcPr>
          <w:p>
            <w:pPr>
              <w:spacing w:after="0"/>
              <w:rPr>
                <w:sz w:val="20"/>
                <w:szCs w:val="20"/>
                <w:color w:val="auto"/>
              </w:rPr>
            </w:pPr>
            <w:r>
              <w:rPr>
                <w:rFonts w:ascii="Arial" w:cs="Arial" w:eastAsia="Arial" w:hAnsi="Arial"/>
                <w:sz w:val="13"/>
                <w:szCs w:val="13"/>
                <w:color w:val="auto"/>
              </w:rPr>
              <w:t>Estimated average burden</w:t>
            </w:r>
          </w:p>
        </w:tc>
        <w:tc>
          <w:tcPr>
            <w:tcW w:w="260" w:type="dxa"/>
            <w:vAlign w:val="bottom"/>
          </w:tcPr>
          <w:p>
            <w:pPr>
              <w:spacing w:after="0"/>
              <w:rPr>
                <w:sz w:val="13"/>
                <w:szCs w:val="13"/>
                <w:color w:val="auto"/>
              </w:rPr>
            </w:pPr>
          </w:p>
        </w:tc>
      </w:tr>
      <w:tr>
        <w:trPr>
          <w:trHeight w:val="199"/>
        </w:trPr>
        <w:tc>
          <w:tcPr>
            <w:tcW w:w="1580" w:type="dxa"/>
            <w:vAlign w:val="bottom"/>
          </w:tcPr>
          <w:p>
            <w:pPr>
              <w:spacing w:after="0"/>
              <w:rPr>
                <w:sz w:val="20"/>
                <w:szCs w:val="20"/>
                <w:color w:val="auto"/>
              </w:rPr>
            </w:pPr>
            <w:r>
              <w:rPr>
                <w:rFonts w:ascii="Arial" w:cs="Arial" w:eastAsia="Arial" w:hAnsi="Arial"/>
                <w:sz w:val="13"/>
                <w:szCs w:val="13"/>
                <w:color w:val="auto"/>
              </w:rPr>
              <w:t>hours per response:</w:t>
            </w:r>
          </w:p>
        </w:tc>
        <w:tc>
          <w:tcPr>
            <w:tcW w:w="260" w:type="dxa"/>
            <w:vAlign w:val="bottom"/>
          </w:tcPr>
          <w:p>
            <w:pPr>
              <w:jc w:val="right"/>
              <w:spacing w:after="0"/>
              <w:rPr>
                <w:sz w:val="20"/>
                <w:szCs w:val="20"/>
                <w:color w:val="auto"/>
              </w:rPr>
            </w:pPr>
            <w:r>
              <w:rPr>
                <w:rFonts w:ascii="Arial" w:cs="Arial" w:eastAsia="Arial" w:hAnsi="Arial"/>
                <w:sz w:val="13"/>
                <w:szCs w:val="13"/>
                <w:color w:val="auto"/>
              </w:rPr>
              <w:t>0.5</w:t>
            </w:r>
          </w:p>
        </w:tc>
      </w:tr>
    </w:tbl>
    <w:p>
      <w:pPr>
        <w:spacing w:after="0" w:line="419" w:lineRule="exact"/>
        <w:rPr>
          <w:sz w:val="24"/>
          <w:szCs w:val="24"/>
          <w:color w:val="auto"/>
        </w:rPr>
      </w:pPr>
    </w:p>
    <w:p>
      <w:pPr>
        <w:sectPr>
          <w:pgSz w:w="11900" w:h="16838" w:orient="portrait"/>
          <w:cols w:equalWidth="0" w:num="2">
            <w:col w:w="8400" w:space="540"/>
            <w:col w:w="2000"/>
          </w:cols>
          <w:pgMar w:left="480" w:top="229" w:right="47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20955</wp:posOffset>
            </wp:positionV>
            <wp:extent cx="6980555" cy="5394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0555" cy="5394960"/>
                    </a:xfrm>
                    <a:prstGeom prst="rect">
                      <a:avLst/>
                    </a:prstGeom>
                    <a:noFill/>
                  </pic:spPr>
                </pic:pic>
              </a:graphicData>
            </a:graphic>
          </wp:anchor>
        </w:drawing>
      </w:r>
    </w:p>
    <w:p>
      <w:pPr>
        <w:sectPr>
          <w:pgSz w:w="11900" w:h="16838" w:orient="portrait"/>
          <w:cols w:equalWidth="0" w:num="1">
            <w:col w:w="10940"/>
          </w:cols>
          <w:pgMar w:left="480" w:top="229" w:right="479" w:bottom="1440" w:gutter="0" w:footer="0" w:header="0"/>
          <w:type w:val="continuous"/>
        </w:sectPr>
      </w:pPr>
    </w:p>
    <w:p>
      <w:pPr>
        <w:spacing w:after="0" w:line="43" w:lineRule="exact"/>
        <w:rPr>
          <w:sz w:val="24"/>
          <w:szCs w:val="24"/>
          <w:color w:val="auto"/>
        </w:rPr>
      </w:pPr>
    </w:p>
    <w:tbl>
      <w:tblPr>
        <w:tblLayout w:type="fixed"/>
        <w:tblInd w:w="80" w:type="dxa"/>
        <w:tblCellMar>
          <w:top w:w="0" w:type="dxa"/>
          <w:left w:w="0" w:type="dxa"/>
          <w:bottom w:w="0" w:type="dxa"/>
          <w:right w:w="0" w:type="dxa"/>
        </w:tblCellMar>
      </w:tblPr>
      <w:tr>
        <w:trPr>
          <w:trHeight w:val="264"/>
        </w:trPr>
        <w:tc>
          <w:tcPr>
            <w:tcW w:w="312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tc>
        <w:tc>
          <w:tcPr>
            <w:tcW w:w="144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2"/>
            <w:vMerge w:val="restart"/>
          </w:tcPr>
          <w:p>
            <w:pPr>
              <w:spacing w:after="0"/>
              <w:rPr>
                <w:rFonts w:ascii="Arial" w:cs="Arial" w:eastAsia="Arial" w:hAnsi="Arial"/>
                <w:sz w:val="23"/>
                <w:szCs w:val="23"/>
                <w:color w:val="0000EE"/>
              </w:rPr>
            </w:pPr>
            <w:hyperlink r:id="rId10">
              <w:r>
                <w:rPr>
                  <w:rFonts w:ascii="Arial" w:cs="Arial" w:eastAsia="Arial" w:hAnsi="Arial"/>
                  <w:sz w:val="23"/>
                  <w:szCs w:val="23"/>
                  <w:color w:val="0000EE"/>
                </w:rPr>
                <w:t>Shanmugasundaram Kulesh</w:t>
              </w:r>
            </w:hyperlink>
          </w:p>
        </w:tc>
        <w:tc>
          <w:tcPr>
            <w:tcW w:w="1440" w:type="dxa"/>
            <w:vAlign w:val="bottom"/>
          </w:tcPr>
          <w:p>
            <w:pPr>
              <w:ind w:left="160"/>
              <w:spacing w:after="0" w:line="141" w:lineRule="exact"/>
              <w:rPr>
                <w:sz w:val="20"/>
                <w:szCs w:val="20"/>
                <w:color w:val="auto"/>
              </w:rPr>
            </w:pPr>
            <w:r>
              <w:rPr>
                <w:rFonts w:ascii="Arial" w:cs="Arial" w:eastAsia="Arial" w:hAnsi="Arial"/>
                <w:sz w:val="14"/>
                <w:szCs w:val="14"/>
                <w:color w:val="auto"/>
                <w:w w:val="98"/>
              </w:rPr>
              <w:t>Requiring Statement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2"/>
            <w:vMerge w:val="continue"/>
          </w:tcPr>
          <w:p>
            <w:pPr>
              <w:spacing w:after="0"/>
              <w:rPr>
                <w:sz w:val="12"/>
                <w:szCs w:val="12"/>
                <w:color w:val="auto"/>
              </w:rPr>
            </w:pPr>
          </w:p>
        </w:tc>
        <w:tc>
          <w:tcPr>
            <w:tcW w:w="1440" w:type="dxa"/>
            <w:vAlign w:val="bottom"/>
          </w:tcPr>
          <w:p>
            <w:pPr>
              <w:ind w:left="160"/>
              <w:spacing w:after="0" w:line="143"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540" w:type="dxa"/>
            <w:vAlign w:val="bottom"/>
            <w:tcBorders>
              <w:top w:val="single" w:sz="8" w:color="0000EE"/>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440" w:type="dxa"/>
            <w:vAlign w:val="bottom"/>
          </w:tcPr>
          <w:p>
            <w:pPr>
              <w:ind w:left="160"/>
              <w:spacing w:after="0" w:line="179" w:lineRule="exact"/>
              <w:rPr>
                <w:sz w:val="20"/>
                <w:szCs w:val="20"/>
                <w:color w:val="auto"/>
              </w:rPr>
            </w:pPr>
            <w:r>
              <w:rPr>
                <w:rFonts w:ascii="Arial" w:cs="Arial" w:eastAsia="Arial" w:hAnsi="Arial"/>
                <w:sz w:val="18"/>
                <w:szCs w:val="18"/>
                <w:color w:val="0000FF"/>
              </w:rPr>
              <w:t>03/25/2021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0"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Angi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ANGI</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20" w:lineRule="exact"/>
        <w:rPr>
          <w:sz w:val="24"/>
          <w:szCs w:val="24"/>
          <w:color w:val="auto"/>
        </w:rPr>
      </w:pPr>
    </w:p>
    <w:p>
      <w:pPr>
        <w:sectPr>
          <w:pgSz w:w="11900" w:h="16838" w:orient="portrait"/>
          <w:cols w:equalWidth="0" w:num="2">
            <w:col w:w="4640" w:space="340"/>
            <w:col w:w="5960"/>
          </w:cols>
          <w:pgMar w:left="480" w:top="229" w:right="479" w:bottom="1440" w:gutter="0" w:footer="0" w:header="0"/>
          <w:type w:val="continuous"/>
        </w:sectPr>
      </w:pPr>
    </w:p>
    <w:p>
      <w:pPr>
        <w:spacing w:after="0" w:line="99"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40"/>
              <w:spacing w:after="0"/>
              <w:rPr>
                <w:sz w:val="20"/>
                <w:szCs w:val="20"/>
                <w:color w:val="auto"/>
              </w:rPr>
            </w:pPr>
            <w:r>
              <w:rPr>
                <w:rFonts w:ascii="Arial" w:cs="Arial" w:eastAsia="Arial" w:hAnsi="Arial"/>
                <w:sz w:val="14"/>
                <w:szCs w:val="14"/>
                <w:color w:val="auto"/>
              </w:rPr>
              <w:t>(First)</w:t>
            </w:r>
          </w:p>
        </w:tc>
        <w:tc>
          <w:tcPr>
            <w:tcW w:w="108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96"/>
        </w:trPr>
        <w:tc>
          <w:tcPr>
            <w:tcW w:w="2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C/O ANGI INC.</w:t>
            </w:r>
          </w:p>
        </w:tc>
        <w:tc>
          <w:tcPr>
            <w:tcW w:w="108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3601 WALNUT STREET</w:t>
            </w:r>
          </w:p>
        </w:tc>
        <w:tc>
          <w:tcPr>
            <w:tcW w:w="108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r>
      <w:tr>
        <w:trPr>
          <w:trHeight w:val="283"/>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3"/>
        </w:trPr>
        <w:tc>
          <w:tcPr>
            <w:tcW w:w="20" w:type="dxa"/>
            <w:vAlign w:val="bottom"/>
          </w:tcPr>
          <w:p>
            <w:pPr>
              <w:spacing w:after="0"/>
              <w:rPr>
                <w:sz w:val="22"/>
                <w:szCs w:val="22"/>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DENVER</w:t>
            </w:r>
          </w:p>
        </w:tc>
        <w:tc>
          <w:tcPr>
            <w:tcW w:w="1100" w:type="dxa"/>
            <w:vAlign w:val="bottom"/>
          </w:tcPr>
          <w:p>
            <w:pPr>
              <w:ind w:left="140"/>
              <w:spacing w:after="0"/>
              <w:rPr>
                <w:sz w:val="20"/>
                <w:szCs w:val="20"/>
                <w:color w:val="auto"/>
              </w:rPr>
            </w:pPr>
            <w:r>
              <w:rPr>
                <w:rFonts w:ascii="Arial" w:cs="Arial" w:eastAsia="Arial" w:hAnsi="Arial"/>
                <w:sz w:val="18"/>
                <w:szCs w:val="18"/>
                <w:color w:val="0000FF"/>
              </w:rPr>
              <w:t>CO</w:t>
            </w:r>
          </w:p>
        </w:tc>
        <w:tc>
          <w:tcPr>
            <w:tcW w:w="1080" w:type="dxa"/>
            <w:vAlign w:val="bottom"/>
          </w:tcPr>
          <w:p>
            <w:pPr>
              <w:ind w:left="80"/>
              <w:spacing w:after="0"/>
              <w:rPr>
                <w:sz w:val="20"/>
                <w:szCs w:val="20"/>
                <w:color w:val="auto"/>
              </w:rPr>
            </w:pPr>
            <w:r>
              <w:rPr>
                <w:rFonts w:ascii="Arial" w:cs="Arial" w:eastAsia="Arial" w:hAnsi="Arial"/>
                <w:sz w:val="18"/>
                <w:szCs w:val="18"/>
                <w:color w:val="0000FF"/>
              </w:rPr>
              <w:t>80205</w:t>
            </w:r>
          </w:p>
        </w:tc>
      </w:tr>
    </w:tbl>
    <w:p>
      <w:pPr>
        <w:spacing w:after="0" w:line="20" w:lineRule="exact"/>
        <w:rPr>
          <w:sz w:val="24"/>
          <w:szCs w:val="24"/>
          <w:color w:val="auto"/>
        </w:rPr>
      </w:pPr>
      <w:r>
        <w:rPr>
          <w:sz w:val="24"/>
          <w:szCs w:val="24"/>
          <w:color w:val="auto"/>
        </w:rPr>
        <w:br w:type="column"/>
      </w:r>
    </w:p>
    <w:p>
      <w:pPr>
        <w:ind w:left="-8" w:firstLine="8"/>
        <w:spacing w:after="0" w:line="246" w:lineRule="auto"/>
        <w:tabs>
          <w:tab w:leader="none" w:pos="15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5" w:lineRule="exact"/>
        <w:rPr>
          <w:sz w:val="24"/>
          <w:szCs w:val="24"/>
          <w:color w:val="auto"/>
        </w:rPr>
      </w:pPr>
    </w:p>
    <w:tbl>
      <w:tblPr>
        <w:tblLayout w:type="fixed"/>
        <w:tblInd w:w="192"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280" w:type="dxa"/>
            <w:vAlign w:val="bottom"/>
          </w:tcPr>
          <w:p>
            <w:pPr>
              <w:ind w:left="4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8"/>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60" w:type="dxa"/>
            <w:vAlign w:val="bottom"/>
          </w:tcPr>
          <w:p>
            <w:pPr>
              <w:ind w:left="100"/>
              <w:spacing w:after="0"/>
              <w:rPr>
                <w:sz w:val="20"/>
                <w:szCs w:val="20"/>
                <w:color w:val="auto"/>
              </w:rPr>
            </w:pPr>
            <w:r>
              <w:rPr>
                <w:rFonts w:ascii="Arial" w:cs="Arial" w:eastAsia="Arial" w:hAnsi="Arial"/>
                <w:sz w:val="14"/>
                <w:szCs w:val="14"/>
                <w:color w:val="auto"/>
              </w:rPr>
              <w:t>Officer (give</w:t>
            </w:r>
          </w:p>
        </w:tc>
        <w:tc>
          <w:tcPr>
            <w:tcW w:w="1280" w:type="dxa"/>
            <w:vAlign w:val="bottom"/>
          </w:tcPr>
          <w:p>
            <w:pPr>
              <w:ind w:left="400"/>
              <w:spacing w:after="0"/>
              <w:rPr>
                <w:sz w:val="20"/>
                <w:szCs w:val="20"/>
                <w:color w:val="auto"/>
              </w:rPr>
            </w:pPr>
            <w:r>
              <w:rPr>
                <w:rFonts w:ascii="Arial" w:cs="Arial" w:eastAsia="Arial" w:hAnsi="Arial"/>
                <w:sz w:val="14"/>
                <w:szCs w:val="14"/>
                <w:color w:val="auto"/>
                <w:w w:val="98"/>
              </w:rPr>
              <w:t>Other (specify</w:t>
            </w:r>
          </w:p>
        </w:tc>
        <w:tc>
          <w:tcPr>
            <w:tcW w:w="0" w:type="dxa"/>
            <w:vAlign w:val="bottom"/>
          </w:tcPr>
          <w:p>
            <w:pPr>
              <w:spacing w:after="0"/>
              <w:rPr>
                <w:sz w:val="1"/>
                <w:szCs w:val="1"/>
                <w:color w:val="auto"/>
              </w:rPr>
            </w:pPr>
          </w:p>
        </w:tc>
      </w:tr>
      <w:tr>
        <w:trPr>
          <w:trHeight w:val="111"/>
        </w:trPr>
        <w:tc>
          <w:tcPr>
            <w:tcW w:w="240" w:type="dxa"/>
            <w:vAlign w:val="bottom"/>
            <w:vMerge w:val="continue"/>
          </w:tcPr>
          <w:p>
            <w:pPr>
              <w:spacing w:after="0"/>
              <w:rPr>
                <w:sz w:val="9"/>
                <w:szCs w:val="9"/>
                <w:color w:val="auto"/>
              </w:rPr>
            </w:pPr>
          </w:p>
        </w:tc>
        <w:tc>
          <w:tcPr>
            <w:tcW w:w="1260" w:type="dxa"/>
            <w:vAlign w:val="bottom"/>
            <w:vMerge w:val="restart"/>
          </w:tcPr>
          <w:p>
            <w:pPr>
              <w:ind w:left="100"/>
              <w:spacing w:after="0"/>
              <w:rPr>
                <w:sz w:val="20"/>
                <w:szCs w:val="20"/>
                <w:color w:val="auto"/>
              </w:rPr>
            </w:pPr>
            <w:r>
              <w:rPr>
                <w:rFonts w:ascii="Arial" w:cs="Arial" w:eastAsia="Arial" w:hAnsi="Arial"/>
                <w:sz w:val="14"/>
                <w:szCs w:val="14"/>
                <w:color w:val="auto"/>
              </w:rPr>
              <w:t>title below)</w:t>
            </w:r>
          </w:p>
        </w:tc>
        <w:tc>
          <w:tcPr>
            <w:tcW w:w="1280" w:type="dxa"/>
            <w:vAlign w:val="bottom"/>
            <w:vMerge w:val="restart"/>
          </w:tcPr>
          <w:p>
            <w:pPr>
              <w:ind w:left="4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9"/>
        </w:trPr>
        <w:tc>
          <w:tcPr>
            <w:tcW w:w="2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12"/>
        <w:spacing w:after="0"/>
        <w:rPr>
          <w:sz w:val="20"/>
          <w:szCs w:val="20"/>
          <w:color w:val="auto"/>
        </w:rPr>
      </w:pPr>
      <w:r>
        <w:rPr>
          <w:rFonts w:ascii="Arial" w:cs="Arial" w:eastAsia="Arial" w:hAnsi="Arial"/>
          <w:sz w:val="18"/>
          <w:szCs w:val="18"/>
          <w:color w:val="0000FF"/>
        </w:rPr>
        <w:t>Chief Technology Officer</w:t>
      </w:r>
    </w:p>
    <w:p>
      <w:pPr>
        <w:spacing w:after="0" w:line="20" w:lineRule="exact"/>
        <w:rPr>
          <w:sz w:val="24"/>
          <w:szCs w:val="24"/>
          <w:color w:val="auto"/>
        </w:rPr>
      </w:pPr>
      <w:r>
        <w:rPr>
          <w:sz w:val="24"/>
          <w:szCs w:val="24"/>
          <w:color w:val="auto"/>
        </w:rPr>
        <w:br w:type="column"/>
      </w:r>
    </w:p>
    <w:p>
      <w:pPr>
        <w:ind w:left="-5" w:right="220" w:firstLine="5"/>
        <w:spacing w:after="0" w:line="24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80" w:lineRule="exact"/>
        <w:rPr>
          <w:rFonts w:ascii="Arial" w:cs="Arial" w:eastAsia="Arial" w:hAnsi="Arial"/>
          <w:sz w:val="14"/>
          <w:szCs w:val="14"/>
          <w:color w:val="auto"/>
        </w:rPr>
      </w:pPr>
    </w:p>
    <w:p>
      <w:pPr>
        <w:ind w:left="-5" w:right="120" w:firstLine="5"/>
        <w:spacing w:after="0" w:line="243"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9" w:lineRule="exact"/>
        <w:rPr>
          <w:sz w:val="24"/>
          <w:szCs w:val="24"/>
          <w:color w:val="auto"/>
        </w:rPr>
      </w:pPr>
    </w:p>
    <w:p>
      <w:pPr>
        <w:ind w:left="455" w:right="440" w:hanging="302"/>
        <w:spacing w:after="0" w:line="184" w:lineRule="auto"/>
        <w:tabs>
          <w:tab w:leader="none" w:pos="455" w:val="left"/>
        </w:tabs>
        <w:numPr>
          <w:ilvl w:val="0"/>
          <w:numId w:val="3"/>
        </w:numPr>
        <w:rPr>
          <w:rFonts w:ascii="Arial" w:cs="Arial" w:eastAsia="Arial" w:hAnsi="Arial"/>
          <w:sz w:val="25"/>
          <w:szCs w:val="25"/>
          <w:color w:val="0000FF"/>
          <w:vertAlign w:val="subscript"/>
        </w:rPr>
      </w:pPr>
      <w:r>
        <w:rPr>
          <w:rFonts w:ascii="Arial" w:cs="Arial" w:eastAsia="Arial" w:hAnsi="Arial"/>
          <w:sz w:val="12"/>
          <w:szCs w:val="12"/>
          <w:color w:val="auto"/>
        </w:rPr>
        <w:t>Form filed by One Reporting Person</w:t>
      </w:r>
    </w:p>
    <w:p>
      <w:pPr>
        <w:spacing w:after="0" w:line="42" w:lineRule="exact"/>
        <w:rPr>
          <w:rFonts w:ascii="Arial" w:cs="Arial" w:eastAsia="Arial" w:hAnsi="Arial"/>
          <w:sz w:val="25"/>
          <w:szCs w:val="25"/>
          <w:color w:val="0000FF"/>
          <w:vertAlign w:val="subscript"/>
        </w:rPr>
      </w:pPr>
    </w:p>
    <w:p>
      <w:pPr>
        <w:ind w:left="455" w:right="420"/>
        <w:spacing w:after="0" w:line="246" w:lineRule="auto"/>
        <w:rPr>
          <w:rFonts w:ascii="Arial" w:cs="Arial" w:eastAsia="Arial" w:hAnsi="Arial"/>
          <w:sz w:val="25"/>
          <w:szCs w:val="25"/>
          <w:color w:val="0000FF"/>
          <w:vertAlign w:val="subscript"/>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268" w:space="720"/>
            <w:col w:w="2992" w:space="285"/>
            <w:col w:w="2675"/>
          </w:cols>
          <w:pgMar w:left="480" w:top="229" w:right="479" w:bottom="1440" w:gutter="0" w:footer="0" w:header="0"/>
          <w:type w:val="continuous"/>
        </w:sectPr>
      </w:pPr>
    </w:p>
    <w:p>
      <w:pPr>
        <w:spacing w:after="0" w:line="52" w:lineRule="exact"/>
        <w:rPr>
          <w:sz w:val="24"/>
          <w:szCs w:val="24"/>
          <w:color w:val="auto"/>
        </w:rPr>
      </w:pPr>
    </w:p>
    <w:p>
      <w:pPr>
        <w:ind w:left="120"/>
        <w:spacing w:after="0"/>
        <w:tabs>
          <w:tab w:leader="none" w:pos="1140" w:val="left"/>
          <w:tab w:leader="none" w:pos="21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3"/>
          <w:szCs w:val="13"/>
          <w:color w:val="auto"/>
        </w:rPr>
        <w:t>(Zip)</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00"/>
              <w:spacing w:after="0"/>
              <w:rPr>
                <w:sz w:val="20"/>
                <w:szCs w:val="20"/>
                <w:color w:val="auto"/>
              </w:rPr>
            </w:pPr>
            <w:r>
              <w:rPr>
                <w:rFonts w:ascii="Arial" w:cs="Arial" w:eastAsia="Arial" w:hAnsi="Arial"/>
                <w:sz w:val="14"/>
                <w:szCs w:val="14"/>
                <w:b w:val="1"/>
                <w:bCs w:val="1"/>
                <w:color w:val="auto"/>
              </w:rPr>
              <w:t>2. Amount of Securities</w:t>
            </w: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rPr>
              <w:t>3. Ownership</w:t>
            </w:r>
          </w:p>
        </w:tc>
        <w:tc>
          <w:tcPr>
            <w:tcW w:w="29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w:t>
            </w:r>
          </w:p>
        </w:tc>
      </w:tr>
      <w:tr>
        <w:trPr>
          <w:trHeight w:val="156"/>
        </w:trPr>
        <w:tc>
          <w:tcPr>
            <w:tcW w:w="3380" w:type="dxa"/>
            <w:vAlign w:val="bottom"/>
          </w:tcPr>
          <w:p>
            <w:pPr>
              <w:spacing w:after="0"/>
              <w:rPr>
                <w:sz w:val="13"/>
                <w:szCs w:val="13"/>
                <w:color w:val="auto"/>
              </w:rPr>
            </w:pPr>
          </w:p>
        </w:tc>
        <w:tc>
          <w:tcPr>
            <w:tcW w:w="3500" w:type="dxa"/>
            <w:vAlign w:val="bottom"/>
          </w:tcPr>
          <w:p>
            <w:pPr>
              <w:ind w:left="1500"/>
              <w:spacing w:after="0" w:line="156" w:lineRule="exact"/>
              <w:rPr>
                <w:sz w:val="20"/>
                <w:szCs w:val="20"/>
                <w:color w:val="auto"/>
              </w:rPr>
            </w:pPr>
            <w:r>
              <w:rPr>
                <w:rFonts w:ascii="Arial" w:cs="Arial" w:eastAsia="Arial" w:hAnsi="Arial"/>
                <w:sz w:val="14"/>
                <w:szCs w:val="14"/>
                <w:b w:val="1"/>
                <w:bCs w:val="1"/>
                <w:color w:val="auto"/>
              </w:rPr>
              <w:t>Beneficially Owned (Instr. 4)</w:t>
            </w:r>
          </w:p>
        </w:tc>
        <w:tc>
          <w:tcPr>
            <w:tcW w:w="1160" w:type="dxa"/>
            <w:vAlign w:val="bottom"/>
          </w:tcPr>
          <w:p>
            <w:pPr>
              <w:ind w:left="100"/>
              <w:spacing w:after="0" w:line="156" w:lineRule="exact"/>
              <w:rPr>
                <w:sz w:val="20"/>
                <w:szCs w:val="20"/>
                <w:color w:val="auto"/>
              </w:rPr>
            </w:pPr>
            <w:r>
              <w:rPr>
                <w:rFonts w:ascii="Arial" w:cs="Arial" w:eastAsia="Arial" w:hAnsi="Arial"/>
                <w:sz w:val="14"/>
                <w:szCs w:val="14"/>
                <w:b w:val="1"/>
                <w:bCs w:val="1"/>
                <w:color w:val="auto"/>
              </w:rPr>
              <w:t>Form: Direct</w:t>
            </w:r>
          </w:p>
        </w:tc>
        <w:tc>
          <w:tcPr>
            <w:tcW w:w="2900" w:type="dxa"/>
            <w:vAlign w:val="bottom"/>
          </w:tcPr>
          <w:p>
            <w:pPr>
              <w:ind w:left="120"/>
              <w:spacing w:after="0" w:line="156" w:lineRule="exact"/>
              <w:rPr>
                <w:sz w:val="20"/>
                <w:szCs w:val="20"/>
                <w:color w:val="auto"/>
              </w:rPr>
            </w:pPr>
            <w:r>
              <w:rPr>
                <w:rFonts w:ascii="Arial" w:cs="Arial" w:eastAsia="Arial" w:hAnsi="Arial"/>
                <w:sz w:val="14"/>
                <w:szCs w:val="14"/>
                <w:b w:val="1"/>
                <w:bCs w:val="1"/>
                <w:color w:val="auto"/>
              </w:rPr>
              <w:t>Ownership (Instr. 5)</w:t>
            </w:r>
          </w:p>
        </w:tc>
      </w:tr>
      <w:tr>
        <w:trPr>
          <w:trHeight w:val="156"/>
        </w:trPr>
        <w:tc>
          <w:tcPr>
            <w:tcW w:w="33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160" w:type="dxa"/>
            <w:vAlign w:val="bottom"/>
          </w:tcPr>
          <w:p>
            <w:pPr>
              <w:ind w:left="100"/>
              <w:spacing w:after="0" w:line="156" w:lineRule="exact"/>
              <w:rPr>
                <w:sz w:val="20"/>
                <w:szCs w:val="20"/>
                <w:color w:val="auto"/>
              </w:rPr>
            </w:pPr>
            <w:r>
              <w:rPr>
                <w:rFonts w:ascii="Arial" w:cs="Arial" w:eastAsia="Arial" w:hAnsi="Arial"/>
                <w:sz w:val="14"/>
                <w:szCs w:val="14"/>
                <w:b w:val="1"/>
                <w:bCs w:val="1"/>
                <w:color w:val="auto"/>
              </w:rPr>
              <w:t>(D) or Indirect</w:t>
            </w:r>
          </w:p>
        </w:tc>
        <w:tc>
          <w:tcPr>
            <w:tcW w:w="2900" w:type="dxa"/>
            <w:vAlign w:val="bottom"/>
          </w:tcPr>
          <w:p>
            <w:pPr>
              <w:spacing w:after="0"/>
              <w:rPr>
                <w:sz w:val="13"/>
                <w:szCs w:val="13"/>
                <w:color w:val="auto"/>
              </w:rPr>
            </w:pPr>
          </w:p>
        </w:tc>
      </w:tr>
      <w:tr>
        <w:trPr>
          <w:trHeight w:val="188"/>
        </w:trPr>
        <w:tc>
          <w:tcPr>
            <w:tcW w:w="33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rPr>
              <w:t>(I) (Instr. 5)</w:t>
            </w:r>
          </w:p>
        </w:tc>
        <w:tc>
          <w:tcPr>
            <w:tcW w:w="2900" w:type="dxa"/>
            <w:vAlign w:val="bottom"/>
          </w:tcPr>
          <w:p>
            <w:pPr>
              <w:spacing w:after="0"/>
              <w:rPr>
                <w:sz w:val="16"/>
                <w:szCs w:val="16"/>
                <w:color w:val="auto"/>
              </w:rPr>
            </w:pPr>
          </w:p>
        </w:tc>
      </w:tr>
      <w:tr>
        <w:trPr>
          <w:trHeight w:val="52"/>
        </w:trPr>
        <w:tc>
          <w:tcPr>
            <w:tcW w:w="3380" w:type="dxa"/>
            <w:vAlign w:val="bottom"/>
            <w:tcBorders>
              <w:bottom w:val="single" w:sz="8" w:color="2C2C2C"/>
            </w:tcBorders>
          </w:tcPr>
          <w:p>
            <w:pPr>
              <w:spacing w:after="0"/>
              <w:rPr>
                <w:sz w:val="4"/>
                <w:szCs w:val="4"/>
                <w:color w:val="auto"/>
              </w:rPr>
            </w:pPr>
          </w:p>
        </w:tc>
        <w:tc>
          <w:tcPr>
            <w:tcW w:w="3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r>
    </w:tbl>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342"/>
        </w:trPr>
        <w:tc>
          <w:tcPr>
            <w:tcW w:w="418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rPr>
              <w:t>Class A Common Stock, par value $0.001</w:t>
            </w:r>
            <w:r>
              <w:rPr>
                <w:rFonts w:ascii="Arial" w:cs="Arial" w:eastAsia="Arial" w:hAnsi="Arial"/>
                <w:sz w:val="23"/>
                <w:szCs w:val="23"/>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ind w:left="580"/>
              <w:spacing w:after="0"/>
              <w:rPr>
                <w:sz w:val="20"/>
                <w:szCs w:val="20"/>
                <w:color w:val="auto"/>
              </w:rPr>
            </w:pPr>
            <w:r>
              <w:rPr>
                <w:rFonts w:ascii="Arial" w:cs="Arial" w:eastAsia="Arial" w:hAnsi="Arial"/>
                <w:sz w:val="18"/>
                <w:szCs w:val="18"/>
                <w:color w:val="0000FF"/>
              </w:rPr>
              <w:t>16,029</w:t>
            </w:r>
          </w:p>
        </w:tc>
        <w:tc>
          <w:tcPr>
            <w:tcW w:w="72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2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5800" w:type="dxa"/>
            <w:vAlign w:val="bottom"/>
            <w:gridSpan w:val="7"/>
          </w:tcPr>
          <w:p>
            <w:pPr>
              <w:ind w:left="1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6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76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6"/>
                <w:szCs w:val="16"/>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640" w:type="dxa"/>
            <w:vAlign w:val="bottom"/>
            <w:gridSpan w:val="3"/>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8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Expiration Date</w:t>
            </w:r>
          </w:p>
        </w:tc>
        <w:tc>
          <w:tcPr>
            <w:tcW w:w="2640" w:type="dxa"/>
            <w:vAlign w:val="bottom"/>
            <w:gridSpan w:val="3"/>
          </w:tcPr>
          <w:p>
            <w:pPr>
              <w:ind w:left="60"/>
              <w:spacing w:after="0" w:line="156" w:lineRule="exact"/>
              <w:rPr>
                <w:sz w:val="20"/>
                <w:szCs w:val="20"/>
                <w:color w:val="auto"/>
              </w:rPr>
            </w:pPr>
            <w:r>
              <w:rPr>
                <w:rFonts w:ascii="Arial" w:cs="Arial" w:eastAsia="Arial" w:hAnsi="Arial"/>
                <w:sz w:val="14"/>
                <w:szCs w:val="14"/>
                <w:b w:val="1"/>
                <w:bCs w:val="1"/>
                <w:color w:val="auto"/>
              </w:rPr>
              <w:t>Underlying Derivative Security</w:t>
            </w:r>
          </w:p>
        </w:tc>
        <w:tc>
          <w:tcPr>
            <w:tcW w:w="90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Ownership</w:t>
            </w:r>
          </w:p>
        </w:tc>
        <w:tc>
          <w:tcPr>
            <w:tcW w:w="150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Beneficial</w:t>
            </w: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8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(Month/Day/Year)</w:t>
            </w:r>
          </w:p>
        </w:tc>
        <w:tc>
          <w:tcPr>
            <w:tcW w:w="1920" w:type="dxa"/>
            <w:vAlign w:val="bottom"/>
          </w:tcPr>
          <w:p>
            <w:pPr>
              <w:ind w:left="60"/>
              <w:spacing w:after="0" w:line="156" w:lineRule="exact"/>
              <w:rPr>
                <w:sz w:val="20"/>
                <w:szCs w:val="20"/>
                <w:color w:val="auto"/>
              </w:rPr>
            </w:pPr>
            <w:r>
              <w:rPr>
                <w:rFonts w:ascii="Arial" w:cs="Arial" w:eastAsia="Arial" w:hAnsi="Arial"/>
                <w:sz w:val="14"/>
                <w:szCs w:val="14"/>
                <w:b w:val="1"/>
                <w:bCs w:val="1"/>
                <w:color w:val="auto"/>
              </w:rPr>
              <w:t>(Instr. 4)</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Form:</w:t>
            </w:r>
          </w:p>
        </w:tc>
        <w:tc>
          <w:tcPr>
            <w:tcW w:w="150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Ownership (Instr. 5)</w:t>
            </w:r>
          </w:p>
        </w:tc>
        <w:tc>
          <w:tcPr>
            <w:tcW w:w="0" w:type="dxa"/>
            <w:vAlign w:val="bottom"/>
          </w:tcPr>
          <w:p>
            <w:pPr>
              <w:spacing w:after="0"/>
              <w:rPr>
                <w:sz w:val="1"/>
                <w:szCs w:val="1"/>
                <w:color w:val="auto"/>
              </w:rPr>
            </w:pPr>
          </w:p>
        </w:tc>
      </w:tr>
      <w:tr>
        <w:trPr>
          <w:trHeight w:val="84"/>
        </w:trPr>
        <w:tc>
          <w:tcPr>
            <w:tcW w:w="2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40"/>
              <w:spacing w:after="0" w:line="156"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56" w:lineRule="exact"/>
              <w:rPr>
                <w:sz w:val="20"/>
                <w:szCs w:val="20"/>
                <w:color w:val="auto"/>
              </w:rPr>
            </w:pPr>
            <w:r>
              <w:rPr>
                <w:rFonts w:ascii="Arial" w:cs="Arial" w:eastAsia="Arial" w:hAnsi="Arial"/>
                <w:sz w:val="14"/>
                <w:szCs w:val="14"/>
                <w:b w:val="1"/>
                <w:bCs w:val="1"/>
                <w:color w:val="auto"/>
              </w:rPr>
              <w:t>Direct (D)</w:t>
            </w: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0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or Indirect</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2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(I) (Instr. 5)</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20" w:type="dxa"/>
            <w:vAlign w:val="bottom"/>
            <w:gridSpan w:val="2"/>
          </w:tcPr>
          <w:p>
            <w:pPr>
              <w:ind w:left="80"/>
              <w:spacing w:after="0" w:line="151"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Date</w:t>
            </w:r>
          </w:p>
        </w:tc>
        <w:tc>
          <w:tcPr>
            <w:tcW w:w="8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Expiration</w:t>
            </w:r>
          </w:p>
        </w:tc>
        <w:tc>
          <w:tcPr>
            <w:tcW w:w="1920" w:type="dxa"/>
            <w:vAlign w:val="bottom"/>
          </w:tcPr>
          <w:p>
            <w:pPr>
              <w:spacing w:after="0"/>
              <w:rPr>
                <w:sz w:val="13"/>
                <w:szCs w:val="13"/>
                <w:color w:val="auto"/>
              </w:rPr>
            </w:pPr>
          </w:p>
        </w:tc>
        <w:tc>
          <w:tcPr>
            <w:tcW w:w="72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2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2760" w:type="dxa"/>
            <w:vAlign w:val="bottom"/>
            <w:vMerge w:val="restart"/>
          </w:tcPr>
          <w:p>
            <w:pPr>
              <w:ind w:left="8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3"/>
                <w:szCs w:val="23"/>
                <w:color w:val="008000"/>
                <w:vertAlign w:val="superscript"/>
              </w:rPr>
              <w:t>(2)</w:t>
            </w:r>
          </w:p>
        </w:tc>
        <w:tc>
          <w:tcPr>
            <w:tcW w:w="1420" w:type="dxa"/>
            <w:vAlign w:val="bottom"/>
            <w:gridSpan w:val="2"/>
            <w:vMerge w:val="restart"/>
          </w:tcPr>
          <w:p>
            <w:pPr>
              <w:jc w:val="right"/>
              <w:ind w:right="66"/>
              <w:spacing w:after="0"/>
              <w:rPr>
                <w:sz w:val="20"/>
                <w:szCs w:val="20"/>
                <w:color w:val="auto"/>
              </w:rPr>
            </w:pPr>
            <w:r>
              <w:rPr>
                <w:rFonts w:ascii="Arial" w:cs="Arial" w:eastAsia="Arial" w:hAnsi="Arial"/>
                <w:sz w:val="14"/>
                <w:szCs w:val="14"/>
                <w:color w:val="0000FF"/>
              </w:rPr>
              <w:t>04/19/2019</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0000FF"/>
                <w:w w:val="91"/>
              </w:rPr>
              <w:t>10/19/2021</w:t>
            </w:r>
          </w:p>
        </w:tc>
        <w:tc>
          <w:tcPr>
            <w:tcW w:w="1920" w:type="dxa"/>
            <w:vAlign w:val="bottom"/>
          </w:tcPr>
          <w:p>
            <w:pPr>
              <w:ind w:left="300"/>
              <w:spacing w:after="0"/>
              <w:rPr>
                <w:sz w:val="20"/>
                <w:szCs w:val="20"/>
                <w:color w:val="auto"/>
              </w:rPr>
            </w:pPr>
            <w:r>
              <w:rPr>
                <w:rFonts w:ascii="Arial" w:cs="Arial" w:eastAsia="Arial" w:hAnsi="Arial"/>
                <w:sz w:val="18"/>
                <w:szCs w:val="18"/>
                <w:color w:val="0000FF"/>
              </w:rPr>
              <w:t>Class A 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90"/>
              </w:rPr>
              <w:t>20,715</w:t>
            </w:r>
          </w:p>
        </w:tc>
        <w:tc>
          <w:tcPr>
            <w:tcW w:w="40" w:type="dxa"/>
            <w:vAlign w:val="bottom"/>
          </w:tcPr>
          <w:p>
            <w:pPr>
              <w:spacing w:after="0"/>
              <w:rPr>
                <w:sz w:val="23"/>
                <w:szCs w:val="23"/>
                <w:color w:val="auto"/>
              </w:rPr>
            </w:pPr>
          </w:p>
        </w:tc>
        <w:tc>
          <w:tcPr>
            <w:tcW w:w="900" w:type="dxa"/>
            <w:vAlign w:val="bottom"/>
            <w:vMerge w:val="restart"/>
          </w:tcPr>
          <w:p>
            <w:pPr>
              <w:ind w:left="320"/>
              <w:spacing w:after="0"/>
              <w:rPr>
                <w:sz w:val="20"/>
                <w:szCs w:val="20"/>
                <w:color w:val="auto"/>
              </w:rPr>
            </w:pPr>
            <w:r>
              <w:rPr>
                <w:rFonts w:ascii="Arial" w:cs="Arial" w:eastAsia="Arial" w:hAnsi="Arial"/>
                <w:sz w:val="18"/>
                <w:szCs w:val="18"/>
                <w:color w:val="0000FF"/>
              </w:rPr>
              <w:t>0.0</w:t>
            </w:r>
          </w:p>
        </w:tc>
        <w:tc>
          <w:tcPr>
            <w:tcW w:w="880" w:type="dxa"/>
            <w:vAlign w:val="bottom"/>
            <w:vMerge w:val="restart"/>
          </w:tcPr>
          <w:p>
            <w:pPr>
              <w:ind w:left="380"/>
              <w:spacing w:after="0"/>
              <w:rPr>
                <w:sz w:val="20"/>
                <w:szCs w:val="20"/>
                <w:color w:val="auto"/>
              </w:rPr>
            </w:pPr>
            <w:r>
              <w:rPr>
                <w:rFonts w:ascii="Arial" w:cs="Arial" w:eastAsia="Arial" w:hAnsi="Arial"/>
                <w:sz w:val="18"/>
                <w:szCs w:val="18"/>
                <w:color w:val="0000FF"/>
              </w:rPr>
              <w:t>D</w:t>
            </w: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760" w:type="dxa"/>
            <w:vAlign w:val="bottom"/>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0000FF"/>
                <w:w w:val="96"/>
              </w:rPr>
              <w:t>Stock, par value $0.001</w:t>
            </w:r>
          </w:p>
        </w:tc>
        <w:tc>
          <w:tcPr>
            <w:tcW w:w="6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2760" w:type="dxa"/>
            <w:vAlign w:val="bottom"/>
            <w:vMerge w:val="restart"/>
          </w:tcPr>
          <w:p>
            <w:pPr>
              <w:ind w:left="8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3"/>
                <w:szCs w:val="23"/>
                <w:color w:val="008000"/>
                <w:vertAlign w:val="superscript"/>
              </w:rPr>
              <w:t>(3)</w:t>
            </w:r>
          </w:p>
        </w:tc>
        <w:tc>
          <w:tcPr>
            <w:tcW w:w="1420" w:type="dxa"/>
            <w:vAlign w:val="bottom"/>
            <w:gridSpan w:val="2"/>
            <w:vMerge w:val="restart"/>
          </w:tcPr>
          <w:p>
            <w:pPr>
              <w:jc w:val="right"/>
              <w:ind w:right="66"/>
              <w:spacing w:after="0"/>
              <w:rPr>
                <w:sz w:val="20"/>
                <w:szCs w:val="20"/>
                <w:color w:val="auto"/>
              </w:rPr>
            </w:pPr>
            <w:r>
              <w:rPr>
                <w:rFonts w:ascii="Arial" w:cs="Arial" w:eastAsia="Arial" w:hAnsi="Arial"/>
                <w:sz w:val="14"/>
                <w:szCs w:val="14"/>
                <w:color w:val="0000FF"/>
              </w:rPr>
              <w:t>04/19/2022</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0000FF"/>
                <w:w w:val="91"/>
              </w:rPr>
              <w:t>10/19/2024</w:t>
            </w:r>
          </w:p>
        </w:tc>
        <w:tc>
          <w:tcPr>
            <w:tcW w:w="1920" w:type="dxa"/>
            <w:vAlign w:val="bottom"/>
          </w:tcPr>
          <w:p>
            <w:pPr>
              <w:ind w:left="300"/>
              <w:spacing w:after="0"/>
              <w:rPr>
                <w:sz w:val="20"/>
                <w:szCs w:val="20"/>
                <w:color w:val="auto"/>
              </w:rPr>
            </w:pPr>
            <w:r>
              <w:rPr>
                <w:rFonts w:ascii="Arial" w:cs="Arial" w:eastAsia="Arial" w:hAnsi="Arial"/>
                <w:sz w:val="18"/>
                <w:szCs w:val="18"/>
                <w:color w:val="0000FF"/>
              </w:rPr>
              <w:t>Class A 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90"/>
              </w:rPr>
              <w:t>76,238</w:t>
            </w:r>
          </w:p>
        </w:tc>
        <w:tc>
          <w:tcPr>
            <w:tcW w:w="40" w:type="dxa"/>
            <w:vAlign w:val="bottom"/>
          </w:tcPr>
          <w:p>
            <w:pPr>
              <w:spacing w:after="0"/>
              <w:rPr>
                <w:sz w:val="23"/>
                <w:szCs w:val="23"/>
                <w:color w:val="auto"/>
              </w:rPr>
            </w:pPr>
          </w:p>
        </w:tc>
        <w:tc>
          <w:tcPr>
            <w:tcW w:w="900" w:type="dxa"/>
            <w:vAlign w:val="bottom"/>
            <w:vMerge w:val="restart"/>
          </w:tcPr>
          <w:p>
            <w:pPr>
              <w:ind w:left="320"/>
              <w:spacing w:after="0"/>
              <w:rPr>
                <w:sz w:val="20"/>
                <w:szCs w:val="20"/>
                <w:color w:val="auto"/>
              </w:rPr>
            </w:pPr>
            <w:r>
              <w:rPr>
                <w:rFonts w:ascii="Arial" w:cs="Arial" w:eastAsia="Arial" w:hAnsi="Arial"/>
                <w:sz w:val="18"/>
                <w:szCs w:val="18"/>
                <w:color w:val="0000FF"/>
              </w:rPr>
              <w:t>0.0</w:t>
            </w:r>
          </w:p>
        </w:tc>
        <w:tc>
          <w:tcPr>
            <w:tcW w:w="880" w:type="dxa"/>
            <w:vAlign w:val="bottom"/>
            <w:vMerge w:val="restart"/>
          </w:tcPr>
          <w:p>
            <w:pPr>
              <w:ind w:left="380"/>
              <w:spacing w:after="0"/>
              <w:rPr>
                <w:sz w:val="20"/>
                <w:szCs w:val="20"/>
                <w:color w:val="auto"/>
              </w:rPr>
            </w:pPr>
            <w:r>
              <w:rPr>
                <w:rFonts w:ascii="Arial" w:cs="Arial" w:eastAsia="Arial" w:hAnsi="Arial"/>
                <w:sz w:val="18"/>
                <w:szCs w:val="18"/>
                <w:color w:val="0000FF"/>
              </w:rPr>
              <w:t>D</w:t>
            </w: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760" w:type="dxa"/>
            <w:vAlign w:val="bottom"/>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0000FF"/>
                <w:w w:val="96"/>
              </w:rPr>
              <w:t>Stock, par value $0.001</w:t>
            </w:r>
          </w:p>
        </w:tc>
        <w:tc>
          <w:tcPr>
            <w:tcW w:w="6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2760" w:type="dxa"/>
            <w:vAlign w:val="bottom"/>
            <w:vMerge w:val="restart"/>
          </w:tcPr>
          <w:p>
            <w:pPr>
              <w:ind w:left="8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3"/>
                <w:szCs w:val="23"/>
                <w:color w:val="008000"/>
                <w:vertAlign w:val="superscript"/>
              </w:rPr>
              <w:t>(4)</w:t>
            </w:r>
          </w:p>
        </w:tc>
        <w:tc>
          <w:tcPr>
            <w:tcW w:w="1420" w:type="dxa"/>
            <w:vAlign w:val="bottom"/>
            <w:gridSpan w:val="2"/>
            <w:vMerge w:val="restart"/>
          </w:tcPr>
          <w:p>
            <w:pPr>
              <w:jc w:val="right"/>
              <w:ind w:right="66"/>
              <w:spacing w:after="0"/>
              <w:rPr>
                <w:sz w:val="20"/>
                <w:szCs w:val="20"/>
                <w:color w:val="auto"/>
              </w:rPr>
            </w:pPr>
            <w:r>
              <w:rPr>
                <w:rFonts w:ascii="Arial" w:cs="Arial" w:eastAsia="Arial" w:hAnsi="Arial"/>
                <w:sz w:val="14"/>
                <w:szCs w:val="14"/>
                <w:color w:val="0000FF"/>
              </w:rPr>
              <w:t>10/19/2019</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0000FF"/>
                <w:w w:val="91"/>
              </w:rPr>
              <w:t>10/14/2022</w:t>
            </w:r>
          </w:p>
        </w:tc>
        <w:tc>
          <w:tcPr>
            <w:tcW w:w="1920" w:type="dxa"/>
            <w:vAlign w:val="bottom"/>
          </w:tcPr>
          <w:p>
            <w:pPr>
              <w:ind w:left="300"/>
              <w:spacing w:after="0"/>
              <w:rPr>
                <w:sz w:val="20"/>
                <w:szCs w:val="20"/>
                <w:color w:val="auto"/>
              </w:rPr>
            </w:pPr>
            <w:r>
              <w:rPr>
                <w:rFonts w:ascii="Arial" w:cs="Arial" w:eastAsia="Arial" w:hAnsi="Arial"/>
                <w:sz w:val="18"/>
                <w:szCs w:val="18"/>
                <w:color w:val="0000FF"/>
              </w:rPr>
              <w:t>Class A 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93"/>
              </w:rPr>
              <w:t>8,062</w:t>
            </w:r>
          </w:p>
        </w:tc>
        <w:tc>
          <w:tcPr>
            <w:tcW w:w="40" w:type="dxa"/>
            <w:vAlign w:val="bottom"/>
          </w:tcPr>
          <w:p>
            <w:pPr>
              <w:spacing w:after="0"/>
              <w:rPr>
                <w:sz w:val="23"/>
                <w:szCs w:val="23"/>
                <w:color w:val="auto"/>
              </w:rPr>
            </w:pPr>
          </w:p>
        </w:tc>
        <w:tc>
          <w:tcPr>
            <w:tcW w:w="900" w:type="dxa"/>
            <w:vAlign w:val="bottom"/>
            <w:vMerge w:val="restart"/>
          </w:tcPr>
          <w:p>
            <w:pPr>
              <w:ind w:left="320"/>
              <w:spacing w:after="0"/>
              <w:rPr>
                <w:sz w:val="20"/>
                <w:szCs w:val="20"/>
                <w:color w:val="auto"/>
              </w:rPr>
            </w:pPr>
            <w:r>
              <w:rPr>
                <w:rFonts w:ascii="Arial" w:cs="Arial" w:eastAsia="Arial" w:hAnsi="Arial"/>
                <w:sz w:val="18"/>
                <w:szCs w:val="18"/>
                <w:color w:val="0000FF"/>
              </w:rPr>
              <w:t>0.0</w:t>
            </w:r>
          </w:p>
        </w:tc>
        <w:tc>
          <w:tcPr>
            <w:tcW w:w="880" w:type="dxa"/>
            <w:vAlign w:val="bottom"/>
            <w:vMerge w:val="restart"/>
          </w:tcPr>
          <w:p>
            <w:pPr>
              <w:ind w:left="380"/>
              <w:spacing w:after="0"/>
              <w:rPr>
                <w:sz w:val="20"/>
                <w:szCs w:val="20"/>
                <w:color w:val="auto"/>
              </w:rPr>
            </w:pPr>
            <w:r>
              <w:rPr>
                <w:rFonts w:ascii="Arial" w:cs="Arial" w:eastAsia="Arial" w:hAnsi="Arial"/>
                <w:sz w:val="18"/>
                <w:szCs w:val="18"/>
                <w:color w:val="0000FF"/>
              </w:rPr>
              <w:t>D</w:t>
            </w: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76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920" w:type="dxa"/>
            <w:vAlign w:val="bottom"/>
            <w:vMerge w:val="restart"/>
          </w:tcPr>
          <w:p>
            <w:pPr>
              <w:ind w:left="80"/>
              <w:spacing w:after="0"/>
              <w:rPr>
                <w:sz w:val="20"/>
                <w:szCs w:val="20"/>
                <w:color w:val="auto"/>
              </w:rPr>
            </w:pPr>
            <w:r>
              <w:rPr>
                <w:rFonts w:ascii="Arial" w:cs="Arial" w:eastAsia="Arial" w:hAnsi="Arial"/>
                <w:sz w:val="18"/>
                <w:szCs w:val="18"/>
                <w:color w:val="0000FF"/>
                <w:w w:val="96"/>
              </w:rPr>
              <w:t>Stock, par value $0.001</w:t>
            </w:r>
          </w:p>
        </w:tc>
        <w:tc>
          <w:tcPr>
            <w:tcW w:w="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60" w:lineRule="exact"/>
        <w:rPr>
          <w:sz w:val="24"/>
          <w:szCs w:val="24"/>
          <w:color w:val="auto"/>
        </w:rPr>
      </w:pPr>
    </w:p>
    <w:p>
      <w:pPr>
        <w:ind w:left="180" w:hanging="144"/>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shares of ANGI Class A Common Stock acquired upon the vesting of restricted stock units (see footnotes 2, 3, and 4 below).</w:t>
      </w:r>
    </w:p>
    <w:p>
      <w:pPr>
        <w:spacing w:after="0" w:line="51" w:lineRule="exact"/>
        <w:rPr>
          <w:rFonts w:ascii="Arial" w:cs="Arial" w:eastAsia="Arial" w:hAnsi="Arial"/>
          <w:sz w:val="14"/>
          <w:szCs w:val="14"/>
          <w:color w:val="008000"/>
        </w:rPr>
      </w:pPr>
    </w:p>
    <w:p>
      <w:pPr>
        <w:ind w:left="180" w:hanging="144"/>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Represents unvested restricted stock units that vested/vest in six equal bi-annual installments commencing on April 19, 2019 and ending on October 19, 2021, subject to continued service.</w:t>
      </w:r>
    </w:p>
    <w:p>
      <w:pPr>
        <w:spacing w:after="0" w:line="74" w:lineRule="exact"/>
        <w:rPr>
          <w:rFonts w:ascii="Arial" w:cs="Arial" w:eastAsia="Arial" w:hAnsi="Arial"/>
          <w:sz w:val="12"/>
          <w:szCs w:val="12"/>
          <w:color w:val="008000"/>
        </w:rPr>
      </w:pPr>
    </w:p>
    <w:p>
      <w:pPr>
        <w:ind w:left="180" w:hanging="144"/>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Represents unvested restricted stock units that vested/vest in six equal bi-annual installments commencing on April 19, 2022 and ending on October 19, 2024, subject to continued service.</w:t>
      </w:r>
    </w:p>
    <w:p>
      <w:pPr>
        <w:spacing w:after="0" w:line="74" w:lineRule="exact"/>
        <w:rPr>
          <w:rFonts w:ascii="Arial" w:cs="Arial" w:eastAsia="Arial" w:hAnsi="Arial"/>
          <w:sz w:val="12"/>
          <w:szCs w:val="12"/>
          <w:color w:val="008000"/>
        </w:rPr>
      </w:pPr>
    </w:p>
    <w:p>
      <w:pPr>
        <w:ind w:left="40" w:right="400" w:hanging="4"/>
        <w:spacing w:after="0" w:line="261" w:lineRule="auto"/>
        <w:tabs>
          <w:tab w:leader="none" w:pos="182"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unvested restricted stock units that vested/vest in four installments commencing on October 19, 2019 and ending on October 14, 2022, subject to continued service and the achievement of certain ANGI Class A Common Stock related performance conditions.</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56"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Shannon M. Shaw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4176395</wp:posOffset>
            </wp:positionH>
            <wp:positionV relativeFrom="paragraph">
              <wp:posOffset>-6985</wp:posOffset>
            </wp:positionV>
            <wp:extent cx="9886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88695" cy="8890"/>
                    </a:xfrm>
                    <a:prstGeom prst="rect">
                      <a:avLst/>
                    </a:prstGeom>
                    <a:noFill/>
                  </pic:spPr>
                </pic:pic>
              </a:graphicData>
            </a:graphic>
          </wp:anchor>
        </w:drawing>
      </w:r>
    </w:p>
    <w:p>
      <w:pPr>
        <w:spacing w:after="0" w:line="7"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Attorney-in-Fact for Kulesh  03/31/2021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4176395</wp:posOffset>
            </wp:positionH>
            <wp:positionV relativeFrom="paragraph">
              <wp:posOffset>-12065</wp:posOffset>
            </wp:positionV>
            <wp:extent cx="1929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Shanmugasundaram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4176395</wp:posOffset>
            </wp:positionH>
            <wp:positionV relativeFrom="paragraph">
              <wp:posOffset>-12065</wp:posOffset>
            </wp:positionV>
            <wp:extent cx="9499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9960" cy="8890"/>
                    </a:xfrm>
                    <a:prstGeom prst="rect">
                      <a:avLst/>
                    </a:prstGeom>
                    <a:noFill/>
                  </pic:spPr>
                </pic:pic>
              </a:graphicData>
            </a:graphic>
          </wp:anchor>
        </w:drawing>
      </w:r>
    </w:p>
    <w:p>
      <w:pPr>
        <w:spacing w:after="0" w:line="5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52" w:lineRule="exact"/>
        <w:rPr>
          <w:sz w:val="24"/>
          <w:szCs w:val="24"/>
          <w:color w:val="auto"/>
        </w:rPr>
      </w:pPr>
    </w:p>
    <w:p>
      <w:pPr>
        <w:jc w:val="both"/>
        <w:ind w:left="40" w:right="2720" w:hanging="4"/>
        <w:spacing w:after="0" w:line="314" w:lineRule="auto"/>
        <w:tabs>
          <w:tab w:leader="none" w:pos="19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spacing w:after="0"/>
        <w:rPr>
          <w:rFonts w:ascii="Arial" w:cs="Arial" w:eastAsia="Arial" w:hAnsi="Arial"/>
          <w:sz w:val="14"/>
          <w:szCs w:val="14"/>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29" w:right="479" w:bottom="1440" w:gutter="0" w:footer="0" w:header="0"/>
          <w:type w:val="continuous"/>
        </w:sectPr>
      </w:pPr>
    </w:p>
    <w:bookmarkStart w:id="1" w:name="page2"/>
    <w:bookmarkEnd w:id="1"/>
    <w:p>
      <w:pPr>
        <w:ind w:left="6"/>
        <w:spacing w:after="0"/>
        <w:rPr>
          <w:sz w:val="20"/>
          <w:szCs w:val="20"/>
          <w:color w:val="auto"/>
        </w:rPr>
      </w:pPr>
      <w:r>
        <w:rPr>
          <w:rFonts w:ascii="Courier New" w:cs="Courier New" w:eastAsia="Courier New" w:hAnsi="Courier New"/>
          <w:sz w:val="18"/>
          <w:szCs w:val="18"/>
          <w:color w:val="auto"/>
        </w:rPr>
        <w:t>POWER OF ATTORNEY</w:t>
      </w:r>
    </w:p>
    <w:p>
      <w:pPr>
        <w:spacing w:after="0" w:line="222" w:lineRule="exact"/>
        <w:rPr>
          <w:sz w:val="20"/>
          <w:szCs w:val="20"/>
          <w:color w:val="auto"/>
        </w:rPr>
      </w:pPr>
    </w:p>
    <w:p>
      <w:pPr>
        <w:ind w:left="6" w:right="120"/>
        <w:spacing w:after="0" w:line="254" w:lineRule="auto"/>
        <w:rPr>
          <w:sz w:val="20"/>
          <w:szCs w:val="20"/>
          <w:color w:val="auto"/>
        </w:rPr>
      </w:pPr>
      <w:r>
        <w:rPr>
          <w:rFonts w:ascii="Courier New" w:cs="Courier New" w:eastAsia="Courier New" w:hAnsi="Courier New"/>
          <w:sz w:val="18"/>
          <w:szCs w:val="18"/>
          <w:color w:val="auto"/>
        </w:rPr>
        <w:t>The undersigned hereby constitutes and appoints each of Shannon M. Shaw and Christopher W. Bohnert, signing singly, as the undersigned's true and lawful attorney-in-fact to:</w:t>
      </w:r>
    </w:p>
    <w:p>
      <w:pPr>
        <w:spacing w:after="0" w:line="207" w:lineRule="exact"/>
        <w:rPr>
          <w:sz w:val="20"/>
          <w:szCs w:val="20"/>
          <w:color w:val="auto"/>
        </w:rPr>
      </w:pPr>
    </w:p>
    <w:p>
      <w:pPr>
        <w:ind w:left="6" w:right="440" w:hanging="6"/>
        <w:spacing w:after="0" w:line="251" w:lineRule="auto"/>
        <w:tabs>
          <w:tab w:leader="none" w:pos="4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of ANGI Homeservices Inc. (the "Company"), Forms 3, 4 and 5 in accordance with Section 16(a) of the Securities Exchange Act of 1934, as amended, and the rules thereunder (the "Exchange Act"), and Form ID to obtain and/or renew EDGAR codes, passwords and/or passphrases for use in connection with the filing of Forms 3, 4 and 5;</w:t>
      </w:r>
    </w:p>
    <w:p>
      <w:pPr>
        <w:spacing w:after="0" w:line="210" w:lineRule="exact"/>
        <w:rPr>
          <w:rFonts w:ascii="Courier New" w:cs="Courier New" w:eastAsia="Courier New" w:hAnsi="Courier New"/>
          <w:sz w:val="18"/>
          <w:szCs w:val="18"/>
          <w:color w:val="auto"/>
        </w:rPr>
      </w:pPr>
    </w:p>
    <w:p>
      <w:pPr>
        <w:ind w:left="446" w:hanging="446"/>
        <w:spacing w:after="0"/>
        <w:tabs>
          <w:tab w:leader="none" w:pos="44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w:t>
      </w:r>
    </w:p>
    <w:p>
      <w:pPr>
        <w:spacing w:after="0" w:line="9" w:lineRule="exact"/>
        <w:rPr>
          <w:sz w:val="20"/>
          <w:szCs w:val="20"/>
          <w:color w:val="auto"/>
        </w:rPr>
      </w:pPr>
    </w:p>
    <w:p>
      <w:pPr>
        <w:jc w:val="both"/>
        <w:ind w:left="6" w:right="560"/>
        <w:spacing w:after="0" w:line="252" w:lineRule="auto"/>
        <w:rPr>
          <w:sz w:val="20"/>
          <w:szCs w:val="20"/>
          <w:color w:val="auto"/>
        </w:rPr>
      </w:pPr>
      <w:r>
        <w:rPr>
          <w:rFonts w:ascii="Courier New" w:cs="Courier New" w:eastAsia="Courier New" w:hAnsi="Courier New"/>
          <w:sz w:val="18"/>
          <w:szCs w:val="18"/>
          <w:color w:val="auto"/>
        </w:rPr>
        <w:t>necessary or desirable to complete and execute any such Form 3, 4 or 5 or Form ID, complete and execute any amendment or amendments thereto, and timely file such forms with the United States Securities and Exchange Commission and any stock exchange or similar authority;</w:t>
      </w:r>
    </w:p>
    <w:p>
      <w:pPr>
        <w:spacing w:after="0" w:line="209" w:lineRule="exact"/>
        <w:rPr>
          <w:sz w:val="20"/>
          <w:szCs w:val="20"/>
          <w:color w:val="auto"/>
        </w:rPr>
      </w:pPr>
    </w:p>
    <w:p>
      <w:pPr>
        <w:ind w:left="6" w:hanging="6"/>
        <w:spacing w:after="0" w:line="251" w:lineRule="auto"/>
        <w:tabs>
          <w:tab w:leader="none" w:pos="44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w:t>
      </w:r>
    </w:p>
    <w:p>
      <w:pPr>
        <w:spacing w:after="0" w:line="210" w:lineRule="exact"/>
        <w:rPr>
          <w:rFonts w:ascii="Courier New" w:cs="Courier New" w:eastAsia="Courier New" w:hAnsi="Courier New"/>
          <w:sz w:val="18"/>
          <w:szCs w:val="18"/>
          <w:color w:val="auto"/>
        </w:rPr>
      </w:pPr>
    </w:p>
    <w:p>
      <w:pPr>
        <w:ind w:left="446" w:hanging="446"/>
        <w:spacing w:after="0"/>
        <w:tabs>
          <w:tab w:leader="none" w:pos="44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attorney-in-fact and on the undersigned's behalf,</w:t>
      </w:r>
    </w:p>
    <w:p>
      <w:pPr>
        <w:spacing w:after="0" w:line="8" w:lineRule="exact"/>
        <w:rPr>
          <w:rFonts w:ascii="Courier New" w:cs="Courier New" w:eastAsia="Courier New" w:hAnsi="Courier New"/>
          <w:sz w:val="18"/>
          <w:szCs w:val="18"/>
          <w:color w:val="auto"/>
        </w:rPr>
      </w:pPr>
    </w:p>
    <w:p>
      <w:pPr>
        <w:ind w:left="6" w:right="440"/>
        <w:spacing w:after="0" w:line="25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spacing w:after="0" w:line="200" w:lineRule="exact"/>
        <w:rPr>
          <w:sz w:val="20"/>
          <w:szCs w:val="20"/>
          <w:color w:val="auto"/>
        </w:rPr>
      </w:pPr>
    </w:p>
    <w:p>
      <w:pPr>
        <w:spacing w:after="0" w:line="224" w:lineRule="exact"/>
        <w:rPr>
          <w:sz w:val="20"/>
          <w:szCs w:val="20"/>
          <w:color w:val="auto"/>
        </w:rPr>
      </w:pPr>
    </w:p>
    <w:p>
      <w:pPr>
        <w:ind w:left="6" w:right="440"/>
        <w:spacing w:after="0" w:line="250"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7" w:lineRule="exact"/>
        <w:rPr>
          <w:sz w:val="20"/>
          <w:szCs w:val="20"/>
          <w:color w:val="auto"/>
        </w:rPr>
      </w:pPr>
    </w:p>
    <w:p>
      <w:pPr>
        <w:ind w:left="6" w:right="340"/>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1" w:lineRule="exact"/>
        <w:rPr>
          <w:sz w:val="20"/>
          <w:szCs w:val="20"/>
          <w:color w:val="auto"/>
        </w:rPr>
      </w:pPr>
    </w:p>
    <w:p>
      <w:pPr>
        <w:ind w:left="6" w:right="220"/>
        <w:spacing w:after="0" w:line="250" w:lineRule="auto"/>
        <w:rPr>
          <w:sz w:val="20"/>
          <w:szCs w:val="20"/>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including, but not limited to, the shorter deadlines mandated by the Sarbanes-Oxley Act of 2002, possible time zone differences between the Company and the undersigned and the Company's need to rely on other parties for information, including the undersigned and brokers of the undersigned.</w:t>
      </w:r>
    </w:p>
    <w:p>
      <w:pPr>
        <w:spacing w:after="0" w:line="217" w:lineRule="exact"/>
        <w:rPr>
          <w:sz w:val="20"/>
          <w:szCs w:val="20"/>
          <w:color w:val="auto"/>
        </w:rPr>
      </w:pPr>
    </w:p>
    <w:p>
      <w:pPr>
        <w:ind w:left="6" w:right="560"/>
        <w:spacing w:after="0" w:line="254" w:lineRule="auto"/>
        <w:rPr>
          <w:sz w:val="20"/>
          <w:szCs w:val="20"/>
          <w:color w:val="auto"/>
        </w:rPr>
      </w:pPr>
      <w:r>
        <w:rPr>
          <w:rFonts w:ascii="Courier New" w:cs="Courier New" w:eastAsia="Courier New" w:hAnsi="Courier New"/>
          <w:sz w:val="18"/>
          <w:szCs w:val="18"/>
          <w:color w:val="auto"/>
        </w:rPr>
        <w:t>IN WITNESS WHEREOF, the undersigned had caused this Power of Attorney to be executed as of this 29th day of March 2021.</w:t>
      </w:r>
    </w:p>
    <w:p>
      <w:pPr>
        <w:spacing w:after="0" w:line="207"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/s/ KULESH SHANMUGASUNDARAM</w:t>
      </w:r>
    </w:p>
    <w:p>
      <w:pPr>
        <w:spacing w:after="0" w:line="9"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Name: Kulesh Shanmugasundaram</w:t>
      </w:r>
    </w:p>
    <w:sectPr>
      <w:pgSz w:w="11900" w:h="16838" w:orient="portrait"/>
      <w:cols w:equalWidth="0" w:num="1">
        <w:col w:w="11066"/>
      </w:cols>
      <w:pgMar w:left="474" w:top="14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54475" TargetMode="External"/><Relationship Id="rId11" Type="http://schemas.openxmlformats.org/officeDocument/2006/relationships/hyperlink" Target="http://www.sec.gov/cgi-bin/browse-edgar?action=getcompany&amp;CIK=0001705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2021-03-31T20:45:35Z</dcterms:created>
  <dcterms:modified xsi:type="dcterms:W3CDTF">2021-03-31T20:45:35Z</dcterms:modified>
</cp:coreProperties>
</file>