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 Securities Exchange Act of 1934</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center"/>
        <w:rPr/>
      </w:pPr>
      <w:r>
        <w:rPr>
          <w:rFonts w:ascii="Times New Roman;serif" w:hAnsi="Times New Roman;serif"/>
          <w:b w:val="false"/>
          <w:color w:val="000000"/>
          <w:sz w:val="20"/>
          <w:shd w:fill="FFFFFF" w:val="clear"/>
        </w:rPr>
        <w:t>Date of Report (Date of earliest event reported): </w:t>
      </w:r>
      <w:r>
        <w:rPr>
          <w:rFonts w:ascii="Times New Roman;serif" w:hAnsi="Times New Roman;serif"/>
          <w:b/>
          <w:color w:val="000000"/>
          <w:sz w:val="20"/>
          <w:shd w:fill="FFFFFF" w:val="clear"/>
        </w:rPr>
        <w:t>April 9, 2026</w:t>
      </w:r>
    </w:p>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Angi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charter)</w:t>
      </w:r>
    </w:p>
    <w:p>
      <w:pPr>
        <w:pStyle w:val="TextBody"/>
        <w:bidi w:val="0"/>
        <w:spacing w:lineRule="auto" w:line="288" w:before="0" w:after="0"/>
        <w:jc w:val="center"/>
        <w:rPr>
          <w:color w:val="000000"/>
          <w:shd w:fill="FFFFFF" w:val="clear"/>
        </w:rPr>
      </w:pPr>
      <w:r>
        <w:rPr>
          <w:color w:val="000000"/>
          <w:shd w:fill="FFFFFF" w:val="clear"/>
        </w:rPr>
        <w:t> </w:t>
      </w:r>
    </w:p>
    <w:tbl>
      <w:tblPr>
        <w:tblW w:w="5738"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394"/>
        <w:gridCol w:w="394"/>
        <w:gridCol w:w="398"/>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001-38220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82-1204801</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left"/>
        <w:rPr>
          <w:color w:val="000000"/>
          <w:shd w:fill="FFFFFF" w:val="clear"/>
        </w:rPr>
      </w:pPr>
      <w:r>
        <w:rPr>
          <w:color w:val="000000"/>
          <w:shd w:fill="FFFFFF" w:val="clear"/>
        </w:rPr>
        <w:t> </w:t>
      </w:r>
    </w:p>
    <w:tbl>
      <w:tblPr>
        <w:tblW w:w="4660" w:type="dxa"/>
        <w:jc w:val="left"/>
        <w:tblInd w:w="0" w:type="dxa"/>
        <w:tblLayout w:type="fixed"/>
        <w:tblCellMar>
          <w:top w:w="28" w:type="dxa"/>
          <w:left w:w="28" w:type="dxa"/>
          <w:bottom w:w="28" w:type="dxa"/>
          <w:right w:w="28" w:type="dxa"/>
        </w:tblCellMar>
      </w:tblPr>
      <w:tblGrid>
        <w:gridCol w:w="784"/>
        <w:gridCol w:w="689"/>
        <w:gridCol w:w="691"/>
        <w:gridCol w:w="377"/>
        <w:gridCol w:w="377"/>
        <w:gridCol w:w="380"/>
        <w:gridCol w:w="109"/>
        <w:gridCol w:w="109"/>
        <w:gridCol w:w="109"/>
        <w:gridCol w:w="303"/>
        <w:gridCol w:w="303"/>
        <w:gridCol w:w="429"/>
      </w:tblGrid>
      <w:tr>
        <w:trPr/>
        <w:tc>
          <w:tcPr>
            <w:tcW w:w="78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3601 Walnut Street,</w:t>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 </w:t>
            </w:r>
            <w:r>
              <w:rPr>
                <w:rFonts w:ascii="Times New Roman;serif" w:hAnsi="Times New Roman;serif"/>
                <w:b/>
                <w:color w:val="000000"/>
                <w:sz w:val="20"/>
              </w:rPr>
              <w:t>Suite 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Denver,</w:t>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80205</w:t>
            </w:r>
          </w:p>
        </w:tc>
      </w:tr>
      <w:tr>
        <w:trPr/>
        <w:tc>
          <w:tcPr>
            <w:tcW w:w="3298" w:type="dxa"/>
            <w:gridSpan w:val="6"/>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0" w:after="120"/>
        <w:jc w:val="center"/>
        <w:rPr/>
      </w:pPr>
      <w:r>
        <w:rPr>
          <w:rFonts w:ascii="Times New Roman;serif" w:hAnsi="Times New Roman;serif"/>
          <w:b w:val="false"/>
          <w:color w:val="000000"/>
          <w:sz w:val="20"/>
          <w:shd w:fill="FFFFFF" w:val="clear"/>
        </w:rPr>
        <w:t>Registrant’s telephone number, including area code: </w:t>
      </w:r>
      <w:r>
        <w:rPr>
          <w:rFonts w:ascii="Times New Roman;serif" w:hAnsi="Times New Roman;serif"/>
          <w:b/>
          <w:color w:val="000000"/>
          <w:sz w:val="20"/>
          <w:shd w:fill="FFFFFF" w:val="clear"/>
        </w:rPr>
        <w:t>(303) 963-7200</w:t>
      </w:r>
      <w:r>
        <w:rPr>
          <w:color w:val="000000"/>
          <w:shd w:fill="FFFFFF" w:val="clear"/>
        </w:rPr>
        <w:t> </w:t>
      </w:r>
    </w:p>
    <w:p>
      <w:pPr>
        <w:pStyle w:val="TextBody"/>
        <w:bidi w:val="0"/>
        <w:spacing w:lineRule="auto" w:line="288" w:before="0" w:after="12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(Former name or former address, if changed since last report)</w:t>
      </w:r>
    </w:p>
    <w:p>
      <w:pPr>
        <w:pStyle w:val="TextBody"/>
        <w:bidi w:val="0"/>
        <w:spacing w:lineRule="auto" w:line="288" w:before="0" w:after="60"/>
        <w:jc w:val="center"/>
        <w:rPr>
          <w:color w:val="000000"/>
          <w:shd w:fill="FFFFFF" w:val="clear"/>
        </w:rPr>
      </w:pPr>
      <w:r>
        <w:rPr>
          <w:color w:val="000000"/>
          <w:shd w:fill="FFFFFF" w:val="clear"/>
        </w:rPr>
        <w:t> </w:t>
      </w:r>
    </w:p>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lineRule="auto" w:line="288" w:before="0" w:after="12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Written communications pursuant to Rule 425 under the Securities Act (17 CFR 230.425)</w:t>
      </w:r>
    </w:p>
    <w:p>
      <w:pPr>
        <w:pStyle w:val="TextBody"/>
        <w:bidi w:val="0"/>
        <w:spacing w:lineRule="auto" w:line="288" w:before="0" w:after="120"/>
        <w:ind w:left="0" w:right="0" w:hanging="36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Soliciting material pursuant to Rule 14a-12 under the Exchange Act (17 CFR 240.14a-12)</w:t>
      </w:r>
    </w:p>
    <w:p>
      <w:pPr>
        <w:pStyle w:val="TextBody"/>
        <w:bidi w:val="0"/>
        <w:spacing w:lineRule="auto" w:line="288" w:before="0" w:after="12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Pre-commencement communications pursuant to Rule 14d-2(b) under the Exchange Act (17 CFR 240.14d-2(b))</w:t>
      </w:r>
    </w:p>
    <w:p>
      <w:pPr>
        <w:pStyle w:val="TextBody"/>
        <w:bidi w:val="0"/>
        <w:spacing w:lineRule="auto" w:line="288" w:before="0" w:after="120"/>
        <w:ind w:left="0" w:right="0" w:hanging="36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Pre-commencement communications pursuant to Rule 13e-4(c) under the Exchange Act (17 CFR 240.13e-4(c))</w:t>
      </w:r>
    </w:p>
    <w:p>
      <w:pPr>
        <w:pStyle w:val="TextBody"/>
        <w:bidi w:val="0"/>
        <w:spacing w:before="0" w:after="120"/>
        <w:jc w:val="left"/>
        <w:rPr/>
      </w:pPr>
      <w:r>
        <w:rPr/>
      </w:r>
    </w:p>
    <w:p>
      <w:pPr>
        <w:pStyle w:val="TextBody"/>
        <w:bidi w:val="0"/>
        <w:spacing w:lineRule="auto" w:line="300" w:before="0" w:after="2"/>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$0.001</w:t>
            </w:r>
          </w:p>
        </w:tc>
        <w:tc>
          <w:tcPr>
            <w:tcW w:w="161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ANGI</w:t>
            </w:r>
          </w:p>
        </w:tc>
        <w:tc>
          <w:tcPr>
            <w:tcW w:w="37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495"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left w:val="single" w:sz="8" w:space="0" w:color="000000"/>
              <w:bottom w:val="single" w:sz="8" w:space="0" w:color="000000"/>
              <w:right w:val="single" w:sz="8" w:space="0" w:color="000000"/>
            </w:tcBorders>
            <w:shd w:fill="FFFFFF" w:val="clear"/>
            <w:tcMar>
              <w:top w:w="0" w:type="dxa"/>
              <w:bottom w:w="3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both"/>
        <w:rPr/>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76" w:before="0" w:after="0"/>
        <w:jc w:val="left"/>
        <w:rPr/>
      </w:pPr>
      <w:r>
        <w:rPr>
          <w:rFonts w:ascii="Times New Roman;serif" w:hAnsi="Times New Roman;serif"/>
          <w:b/>
          <w:color w:val="000000"/>
          <w:sz w:val="20"/>
          <w:shd w:fill="FFFFFF" w:val="clear"/>
        </w:rPr>
        <w:t>Item 5.02</w:t>
      </w:r>
      <w:r>
        <w:rPr>
          <w:color w:val="000000"/>
        </w:rPr>
        <w:t xml:space="preserve"> </w:t>
      </w:r>
      <w:r>
        <w:rPr>
          <w:rFonts w:ascii="Times New Roman;serif" w:hAnsi="Times New Roman;serif"/>
          <w:b/>
          <w:color w:val="000000"/>
          <w:sz w:val="20"/>
        </w:rPr>
        <w:t>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April 9, 2026, Bailey Carson, Chief Operating Officer of Angi Inc. (the “Company”), notified the Company that she intends to resign from her position, effective as of May 1,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appreciative of Ms. Carson’s service, and her resignation is not the result of any disagreement with the Company on any matter relating to its operations, policies or practices. Upon the effectiveness of Ms. Carson’s resignation, Jeff Kip, the Company’s Chief Executive Officer, will oversee the Company’s sales, customer care and operations functions.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within the meaning of the Private Securities Litigation Reform Act of 1995. The use of words such as “will”, as well as the negatives thereof, generally identifies forward-looking statements. These forward-looking statements include, among others, statements relating to the anticipated oversight responsibilities of Jeff Kip, the Company’s Chief Executive Officer. Forward-looking statements are subject to risks, uncertainties and assumptions that may cause actual results to differ materially from those described herein. These risks and uncertainties include, among other things, the Company's ability to successfully transition oversight of the sales, customer care and operations functions. For a discussion of additional risks and uncertainties, see “Risk Factors” contained in the Company’s Annual Report on Form 10-K, filed with the Securities and Exchange Commission (the “SEC”) on February 20, 2026 and subsequent reports that the Company filed with the SEC. Forward-looking statements speak only as of the date made and the Company undertakes no duty to update the information except as required by applicable law.</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6495" w:type="dxa"/>
        <w:jc w:val="left"/>
        <w:tblInd w:w="0" w:type="dxa"/>
        <w:tblLayout w:type="fixed"/>
        <w:tblCellMar>
          <w:top w:w="28" w:type="dxa"/>
          <w:left w:w="28" w:type="dxa"/>
          <w:bottom w:w="28" w:type="dxa"/>
          <w:right w:w="28" w:type="dxa"/>
        </w:tblCellMar>
      </w:tblPr>
      <w:tblGrid>
        <w:gridCol w:w="272"/>
        <w:gridCol w:w="239"/>
        <w:gridCol w:w="240"/>
        <w:gridCol w:w="1678"/>
        <w:gridCol w:w="1678"/>
        <w:gridCol w:w="2388"/>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w:t>
            </w:r>
          </w:p>
        </w:tc>
        <w:tc>
          <w:tcPr>
            <w:tcW w:w="57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574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76"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665" w:type="dxa"/>
        <w:jc w:val="left"/>
        <w:tblInd w:w="0" w:type="dxa"/>
        <w:tblLayout w:type="fixed"/>
        <w:tblCellMar>
          <w:top w:w="28" w:type="dxa"/>
          <w:left w:w="28" w:type="dxa"/>
          <w:bottom w:w="28" w:type="dxa"/>
          <w:right w:w="28" w:type="dxa"/>
        </w:tblCellMar>
      </w:tblPr>
      <w:tblGrid>
        <w:gridCol w:w="744"/>
        <w:gridCol w:w="654"/>
        <w:gridCol w:w="657"/>
        <w:gridCol w:w="233"/>
        <w:gridCol w:w="197"/>
        <w:gridCol w:w="200"/>
        <w:gridCol w:w="578"/>
        <w:gridCol w:w="578"/>
        <w:gridCol w:w="82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6"/>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ANGI INC.</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80"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/s/ Shannon M. Shaw</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Shannon M. Shaw</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80" w:type="dxa"/>
            <w:gridSpan w:val="3"/>
            <w:tcBorders/>
            <w:tcMar>
              <w:top w:w="0" w:type="dxa"/>
              <w:left w:w="0" w:type="dxa"/>
              <w:bottom w:w="0" w:type="dxa"/>
              <w:right w:w="0" w:type="dxa"/>
            </w:tcMar>
            <w:vAlign w:val="center"/>
          </w:tcPr>
          <w:p>
            <w:pPr>
              <w:pStyle w:val="TableContents"/>
              <w:bidi w:val="0"/>
              <w:spacing w:lineRule="auto" w:line="276" w:before="0" w:after="2"/>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r>
        <w:trPr/>
        <w:tc>
          <w:tcPr>
            <w:tcW w:w="2055" w:type="dxa"/>
            <w:gridSpan w:val="3"/>
            <w:tcBorders/>
            <w:tcMar>
              <w:top w:w="0" w:type="dxa"/>
              <w:left w:w="0" w:type="dxa"/>
              <w:bottom w:w="0" w:type="dxa"/>
              <w:right w:w="0" w:type="dxa"/>
            </w:tcMar>
            <w:vAlign w:val="center"/>
          </w:tcPr>
          <w:p>
            <w:pPr>
              <w:pStyle w:val="TableContents"/>
              <w:bidi w:val="0"/>
              <w:spacing w:lineRule="auto" w:line="276" w:before="0" w:after="2"/>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Date: April 14, 2026</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3703</Characters>
  <CharactersWithSpaces>4315</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