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9375.xml.htm"/>
      <w:bookmarkStart w:id="1" w:name="kswkform4_17876093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Pickett Thomas Corning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10,729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Class A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22, 2023, the reporting person was granted 107,296 restricted stock units (on a pre-reverse stock split basis), vesting in three equal annual installments beginning on the first anniversary of the grant date,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 as Attorney-in-Fact for Thomas C. Pickett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277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3478</Characters>
  <CharactersWithSpaces>4046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