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10, 2026</w:t>
      </w:r>
    </w:p>
    <w:p>
      <w:pPr>
        <w:spacing w:after="0" w:line="1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8" w:lineRule="exact"/>
        <w:rPr>
          <w:sz w:val="24"/>
          <w:szCs w:val="24"/>
          <w:color w:val="auto"/>
        </w:rPr>
      </w:pPr>
    </w:p>
    <w:tbl>
      <w:tblPr>
        <w:tblLayout w:type="fixed"/>
        <w:tblInd w:w="1760" w:type="dxa"/>
        <w:tblCellMar>
          <w:top w:w="0" w:type="dxa"/>
          <w:left w:w="0" w:type="dxa"/>
          <w:bottom w:w="0" w:type="dxa"/>
          <w:right w:w="0" w:type="dxa"/>
        </w:tblCellMar>
      </w:tblPr>
      <w:tr>
        <w:trPr>
          <w:trHeight w:val="403"/>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gridSpan w:val="2"/>
          </w:tcPr>
          <w:p>
            <w:pPr>
              <w:jc w:val="center"/>
              <w:ind w:right="929"/>
              <w:spacing w:after="0"/>
              <w:rPr>
                <w:sz w:val="20"/>
                <w:szCs w:val="20"/>
                <w:color w:val="auto"/>
              </w:rPr>
            </w:pPr>
            <w:r>
              <w:rPr>
                <w:rFonts w:ascii="Times New Roman" w:cs="Times New Roman" w:eastAsia="Times New Roman" w:hAnsi="Times New Roman"/>
                <w:sz w:val="32"/>
                <w:szCs w:val="32"/>
                <w:b w:val="1"/>
                <w:bCs w:val="1"/>
                <w:color w:val="auto"/>
                <w:w w:val="99"/>
              </w:rPr>
              <w:t>FORM S-8</w:t>
            </w:r>
          </w:p>
        </w:tc>
      </w:tr>
      <w:tr>
        <w:trPr>
          <w:trHeight w:val="254"/>
        </w:trPr>
        <w:tc>
          <w:tcPr>
            <w:tcW w:w="1800" w:type="dxa"/>
            <w:vAlign w:val="bottom"/>
          </w:tcPr>
          <w:p>
            <w:pPr>
              <w:spacing w:after="0"/>
              <w:rPr>
                <w:sz w:val="22"/>
                <w:szCs w:val="22"/>
                <w:color w:val="auto"/>
              </w:rPr>
            </w:pPr>
          </w:p>
        </w:tc>
        <w:tc>
          <w:tcPr>
            <w:tcW w:w="4840" w:type="dxa"/>
            <w:vAlign w:val="bottom"/>
            <w:gridSpan w:val="3"/>
          </w:tcPr>
          <w:p>
            <w:pPr>
              <w:jc w:val="center"/>
              <w:ind w:right="629"/>
              <w:spacing w:after="0"/>
              <w:rPr>
                <w:sz w:val="20"/>
                <w:szCs w:val="20"/>
                <w:color w:val="auto"/>
              </w:rPr>
            </w:pPr>
            <w:r>
              <w:rPr>
                <w:rFonts w:ascii="Times New Roman" w:cs="Times New Roman" w:eastAsia="Times New Roman" w:hAnsi="Times New Roman"/>
                <w:sz w:val="21"/>
                <w:szCs w:val="21"/>
                <w:b w:val="1"/>
                <w:bCs w:val="1"/>
                <w:color w:val="auto"/>
              </w:rPr>
              <w:t>REGISTRATION STATEMENT UNDER</w:t>
            </w:r>
          </w:p>
        </w:tc>
      </w:tr>
      <w:tr>
        <w:trPr>
          <w:trHeight w:val="282"/>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gridSpan w:val="2"/>
          </w:tcPr>
          <w:p>
            <w:pPr>
              <w:jc w:val="center"/>
              <w:ind w:right="929"/>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tc>
      </w:tr>
      <w:tr>
        <w:trPr>
          <w:trHeight w:val="350"/>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786"/>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gridSpan w:val="2"/>
          </w:tcPr>
          <w:p>
            <w:pPr>
              <w:jc w:val="center"/>
              <w:ind w:right="949"/>
              <w:spacing w:after="0"/>
              <w:rPr>
                <w:sz w:val="20"/>
                <w:szCs w:val="20"/>
                <w:color w:val="auto"/>
              </w:rPr>
            </w:pPr>
            <w:r>
              <w:rPr>
                <w:rFonts w:ascii="Times New Roman" w:cs="Times New Roman" w:eastAsia="Times New Roman" w:hAnsi="Times New Roman"/>
                <w:sz w:val="43"/>
                <w:szCs w:val="43"/>
                <w:b w:val="1"/>
                <w:bCs w:val="1"/>
                <w:color w:val="auto"/>
                <w:w w:val="99"/>
              </w:rPr>
              <w:t>ANGI INC.</w:t>
            </w:r>
          </w:p>
        </w:tc>
      </w:tr>
      <w:tr>
        <w:trPr>
          <w:trHeight w:val="237"/>
        </w:trPr>
        <w:tc>
          <w:tcPr>
            <w:tcW w:w="1800" w:type="dxa"/>
            <w:vAlign w:val="bottom"/>
          </w:tcPr>
          <w:p>
            <w:pPr>
              <w:spacing w:after="0"/>
              <w:rPr>
                <w:sz w:val="20"/>
                <w:szCs w:val="20"/>
                <w:color w:val="auto"/>
              </w:rPr>
            </w:pPr>
          </w:p>
        </w:tc>
        <w:tc>
          <w:tcPr>
            <w:tcW w:w="4840" w:type="dxa"/>
            <w:vAlign w:val="bottom"/>
            <w:gridSpan w:val="3"/>
          </w:tcPr>
          <w:p>
            <w:pPr>
              <w:jc w:val="center"/>
              <w:ind w:right="629"/>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r>
      <w:tr>
        <w:trPr>
          <w:trHeight w:val="511"/>
        </w:trPr>
        <w:tc>
          <w:tcPr>
            <w:tcW w:w="180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gridSpan w:val="3"/>
          </w:tcPr>
          <w:p>
            <w:pPr>
              <w:jc w:val="center"/>
              <w:ind w:left="3445"/>
              <w:spacing w:after="0"/>
              <w:rPr>
                <w:sz w:val="20"/>
                <w:szCs w:val="20"/>
                <w:color w:val="auto"/>
              </w:rPr>
            </w:pPr>
            <w:r>
              <w:rPr>
                <w:rFonts w:ascii="Times New Roman" w:cs="Times New Roman" w:eastAsia="Times New Roman" w:hAnsi="Times New Roman"/>
                <w:sz w:val="18"/>
                <w:szCs w:val="18"/>
                <w:b w:val="1"/>
                <w:bCs w:val="1"/>
                <w:color w:val="auto"/>
                <w:w w:val="98"/>
              </w:rPr>
              <w:t>82-1204801</w:t>
            </w:r>
          </w:p>
        </w:tc>
      </w:tr>
      <w:tr>
        <w:trPr>
          <w:trHeight w:val="147"/>
        </w:trPr>
        <w:tc>
          <w:tcPr>
            <w:tcW w:w="1800" w:type="dxa"/>
            <w:vAlign w:val="bottom"/>
          </w:tcPr>
          <w:p>
            <w:pPr>
              <w:jc w:val="center"/>
              <w:ind w:right="3"/>
              <w:spacing w:after="0" w:line="14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40" w:type="dxa"/>
            <w:vAlign w:val="bottom"/>
          </w:tcPr>
          <w:p>
            <w:pPr>
              <w:jc w:val="center"/>
              <w:ind w:left="1949"/>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1800" w:type="dxa"/>
            <w:vAlign w:val="bottom"/>
          </w:tcPr>
          <w:p>
            <w:pPr>
              <w:jc w:val="center"/>
              <w:ind w:right="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34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50"/>
        </w:trPr>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gridSpan w:val="2"/>
          </w:tcPr>
          <w:p>
            <w:pPr>
              <w:jc w:val="center"/>
              <w:ind w:right="929"/>
              <w:spacing w:after="0"/>
              <w:rPr>
                <w:sz w:val="20"/>
                <w:szCs w:val="20"/>
                <w:color w:val="auto"/>
              </w:rPr>
            </w:pPr>
            <w:r>
              <w:rPr>
                <w:rFonts w:ascii="Times New Roman" w:cs="Times New Roman" w:eastAsia="Times New Roman" w:hAnsi="Times New Roman"/>
                <w:sz w:val="18"/>
                <w:szCs w:val="18"/>
                <w:b w:val="1"/>
                <w:bCs w:val="1"/>
                <w:color w:val="auto"/>
                <w:w w:val="97"/>
              </w:rPr>
              <w:t>3601 Walnut Street,</w:t>
            </w:r>
          </w:p>
        </w:tc>
      </w:tr>
      <w:tr>
        <w:trPr>
          <w:trHeight w:val="213"/>
        </w:trPr>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40" w:type="dxa"/>
            <w:vAlign w:val="bottom"/>
            <w:gridSpan w:val="2"/>
          </w:tcPr>
          <w:p>
            <w:pPr>
              <w:jc w:val="center"/>
              <w:ind w:right="929"/>
              <w:spacing w:after="0"/>
              <w:rPr>
                <w:sz w:val="20"/>
                <w:szCs w:val="20"/>
                <w:color w:val="auto"/>
              </w:rPr>
            </w:pPr>
            <w:r>
              <w:rPr>
                <w:rFonts w:ascii="Times New Roman" w:cs="Times New Roman" w:eastAsia="Times New Roman" w:hAnsi="Times New Roman"/>
                <w:sz w:val="18"/>
                <w:szCs w:val="18"/>
                <w:b w:val="1"/>
                <w:bCs w:val="1"/>
                <w:color w:val="auto"/>
                <w:w w:val="97"/>
              </w:rPr>
              <w:t>Denver, CO 80205</w:t>
            </w:r>
          </w:p>
        </w:tc>
      </w:tr>
      <w:tr>
        <w:trPr>
          <w:trHeight w:val="185"/>
        </w:trPr>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40" w:type="dxa"/>
            <w:vAlign w:val="bottom"/>
            <w:gridSpan w:val="2"/>
          </w:tcPr>
          <w:p>
            <w:pPr>
              <w:jc w:val="center"/>
              <w:ind w:right="92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r>
    </w:tbl>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Amended and Restated Angi Inc. 2017 Stock and Annual Incentive Plan</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Shannon Shaw</w:t>
      </w:r>
    </w:p>
    <w:p>
      <w:pPr>
        <w:spacing w:after="0" w:line="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Angi Inc.</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3815 River Crossing Pkwy, Suite 360</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Indianapolis, IN 46240</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(303) 963-7200</w:t>
      </w:r>
    </w:p>
    <w:p>
      <w:pPr>
        <w:jc w:val="center"/>
        <w:ind w:right="-139"/>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246"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318"/>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Large accelerated filer</w:t>
            </w:r>
          </w:p>
        </w:tc>
        <w:tc>
          <w:tcPr>
            <w:tcW w:w="300" w:type="dxa"/>
            <w:vAlign w:val="bottom"/>
            <w:tcBorders>
              <w:top w:val="single" w:sz="8" w:color="auto"/>
              <w:right w:val="single" w:sz="8" w:color="auto"/>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Borders>
              <w:top w:val="single" w:sz="8" w:color="auto"/>
              <w:right w:val="single" w:sz="8" w:color="auto"/>
            </w:tcBorders>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0" w:type="dxa"/>
            <w:vAlign w:val="bottom"/>
            <w:tcBorders>
              <w:top w:val="single" w:sz="8" w:color="auto"/>
              <w:right w:val="single" w:sz="8" w:color="auto"/>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Borders>
              <w:top w:val="single" w:sz="8" w:color="auto"/>
              <w:right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7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0" w:type="dxa"/>
            <w:vAlign w:val="bottom"/>
            <w:tcBorders>
              <w:top w:val="single" w:sz="8" w:color="auto"/>
              <w:right w:val="single" w:sz="8" w:color="auto"/>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r>
      <w:tr>
        <w:trPr>
          <w:trHeight w:val="70"/>
        </w:trPr>
        <w:tc>
          <w:tcPr>
            <w:tcW w:w="1780" w:type="dxa"/>
            <w:vAlign w:val="bottom"/>
            <w:tcBorders>
              <w:left w:val="single" w:sz="8" w:color="auto"/>
              <w:bottom w:val="single" w:sz="8" w:color="auto"/>
              <w:right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r>
    </w:tbl>
    <w:p>
      <w:pPr>
        <w:spacing w:after="0" w:line="311" w:lineRule="exact"/>
        <w:rPr>
          <w:sz w:val="24"/>
          <w:szCs w:val="24"/>
          <w:color w:val="auto"/>
        </w:rPr>
      </w:pPr>
    </w:p>
    <w:p>
      <w:pPr>
        <w:ind w:right="280"/>
        <w:spacing w:after="0" w:line="214"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6506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6506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ectPr>
          <w:pgSz w:w="11900" w:h="16838" w:orient="portrait"/>
          <w:cols w:equalWidth="0" w:num="1">
            <w:col w:w="11100"/>
          </w:cols>
          <w:pgMar w:left="320" w:top="1026" w:right="4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Angi Inc. (the “Registrant”) to register an additional 2,400,000 shares of its Class A Common Stock, par value $0.001 per share (“Class A Common Stock”), for issuance under the Amended and Restated Angi Inc. 2017 Stock and Annual Incentive Plan (the “2017 Plan”). On April 28, 2026, the Registrant filed a definitive proxy statement on Schedule 14A with the U.S. Securities and Exchange Commission (the “Commission”) that included a proposal to add an additional 2,400,000 shares to the existing 2017 Plan. This proposal was approved by stockholders at the Registrant’s 2026 annual meeting of stockholders on June 10, 2026.</w:t>
      </w:r>
    </w:p>
    <w:p>
      <w:pPr>
        <w:spacing w:after="0" w:line="183" w:lineRule="exact"/>
        <w:rPr>
          <w:sz w:val="20"/>
          <w:szCs w:val="20"/>
          <w:color w:val="auto"/>
        </w:rPr>
      </w:pPr>
    </w:p>
    <w:p>
      <w:pPr>
        <w:jc w:val="both"/>
        <w:ind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General Instruction E of Form S-8, the Registrant hereby incorporates by reference into this Registration Statement the contents of the original Registration Statement on Form S-8 relating to the 2017 Plan, filed with the Commission on October 3, 2017 (</w:t>
      </w:r>
      <w:hyperlink r:id="rId12">
        <w:r>
          <w:rPr>
            <w:rFonts w:ascii="Times New Roman" w:cs="Times New Roman" w:eastAsia="Times New Roman" w:hAnsi="Times New Roman"/>
            <w:sz w:val="18"/>
            <w:szCs w:val="18"/>
            <w:u w:val="single" w:color="auto"/>
            <w:color w:val="0000FF"/>
          </w:rPr>
          <w:t>Commission File No. 333-220788</w:t>
        </w:r>
      </w:hyperlink>
      <w:r>
        <w:rPr>
          <w:rFonts w:ascii="Times New Roman" w:cs="Times New Roman" w:eastAsia="Times New Roman" w:hAnsi="Times New Roman"/>
          <w:sz w:val="18"/>
          <w:szCs w:val="18"/>
          <w:color w:val="auto"/>
        </w:rPr>
        <w:t>) (the “Prior Registration Statement”).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12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pursuant to the U.S. Securities Exchange Act of 1934,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amended (the “Exchange Act”), or the Securities Act of 1933, as amended (the “Securities Act”), as applicable, are hereby incorporated by reference into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55" w:lineRule="exact"/>
        <w:rPr>
          <w:sz w:val="20"/>
          <w:szCs w:val="20"/>
          <w:color w:val="auto"/>
        </w:rPr>
      </w:pPr>
    </w:p>
    <w:p>
      <w:pPr>
        <w:ind w:left="1200" w:hanging="401"/>
        <w:spacing w:after="0"/>
        <w:tabs>
          <w:tab w:leader="none" w:pos="1200" w:val="left"/>
        </w:tabs>
        <w:numPr>
          <w:ilvl w:val="0"/>
          <w:numId w:val="1"/>
        </w:numPr>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u w:val="single" w:color="auto"/>
            <w:color w:val="0000FF"/>
          </w:rPr>
          <w:t>the Registrant’s Annual Report on Form 10-K for the fiscal year ended December 31, 2025</w:t>
        </w:r>
      </w:hyperlink>
      <w:r>
        <w:rPr>
          <w:rFonts w:ascii="Times New Roman" w:cs="Times New Roman" w:eastAsia="Times New Roman" w:hAnsi="Times New Roman"/>
          <w:sz w:val="18"/>
          <w:szCs w:val="18"/>
          <w:color w:val="000000"/>
        </w:rPr>
        <w:t>;</w:t>
      </w:r>
    </w:p>
    <w:p>
      <w:pPr>
        <w:spacing w:after="0" w:line="167" w:lineRule="exact"/>
        <w:rPr>
          <w:rFonts w:ascii="Times New Roman" w:cs="Times New Roman" w:eastAsia="Times New Roman" w:hAnsi="Times New Roman"/>
          <w:sz w:val="18"/>
          <w:szCs w:val="18"/>
          <w:color w:val="0000FF"/>
        </w:rPr>
      </w:pPr>
    </w:p>
    <w:p>
      <w:pPr>
        <w:ind w:left="1200" w:hanging="401"/>
        <w:spacing w:after="0"/>
        <w:tabs>
          <w:tab w:leader="none" w:pos="1200" w:val="left"/>
        </w:tabs>
        <w:numPr>
          <w:ilvl w:val="0"/>
          <w:numId w:val="1"/>
        </w:numPr>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u w:val="single" w:color="auto"/>
            <w:color w:val="0000FF"/>
          </w:rPr>
          <w:t>the Registrant’s definitive proxy statement on Schedule 14A relating to its 2026 annual meeting of stockholders</w:t>
        </w:r>
      </w:hyperlink>
      <w:r>
        <w:rPr>
          <w:rFonts w:ascii="Times New Roman" w:cs="Times New Roman" w:eastAsia="Times New Roman" w:hAnsi="Times New Roman"/>
          <w:sz w:val="18"/>
          <w:szCs w:val="18"/>
          <w:color w:val="000000"/>
        </w:rPr>
        <w:t>;</w:t>
      </w:r>
    </w:p>
    <w:p>
      <w:pPr>
        <w:spacing w:after="0" w:line="177" w:lineRule="exact"/>
        <w:rPr>
          <w:rFonts w:ascii="Times New Roman" w:cs="Times New Roman" w:eastAsia="Times New Roman" w:hAnsi="Times New Roman"/>
          <w:sz w:val="18"/>
          <w:szCs w:val="18"/>
          <w:color w:val="0000FF"/>
        </w:rPr>
      </w:pPr>
    </w:p>
    <w:p>
      <w:pPr>
        <w:ind w:left="1200" w:hanging="401"/>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w:t>
      </w:r>
      <w:hyperlink r:id="rId15">
        <w:r>
          <w:rPr>
            <w:rFonts w:ascii="Times New Roman" w:cs="Times New Roman" w:eastAsia="Times New Roman" w:hAnsi="Times New Roman"/>
            <w:sz w:val="18"/>
            <w:szCs w:val="18"/>
            <w:u w:val="single" w:color="auto"/>
            <w:color w:val="0000FF"/>
          </w:rPr>
          <w:t>March 31, 2026</w:t>
        </w:r>
      </w:hyperlink>
      <w:r>
        <w:rPr>
          <w:rFonts w:ascii="Arial" w:cs="Arial" w:eastAsia="Arial" w:hAnsi="Arial"/>
          <w:sz w:val="19"/>
          <w:szCs w:val="19"/>
          <w:color w:val="auto"/>
        </w:rPr>
        <w:t>;</w:t>
      </w:r>
    </w:p>
    <w:p>
      <w:pPr>
        <w:spacing w:after="0" w:line="197" w:lineRule="exact"/>
        <w:rPr>
          <w:rFonts w:ascii="Times New Roman" w:cs="Times New Roman" w:eastAsia="Times New Roman" w:hAnsi="Times New Roman"/>
          <w:sz w:val="18"/>
          <w:szCs w:val="18"/>
          <w:color w:val="auto"/>
        </w:rPr>
      </w:pPr>
    </w:p>
    <w:p>
      <w:pPr>
        <w:ind w:left="1200" w:right="1220" w:hanging="401"/>
        <w:spacing w:after="0" w:line="277" w:lineRule="auto"/>
        <w:tabs>
          <w:tab w:leader="none" w:pos="1200" w:val="left"/>
        </w:tabs>
        <w:numPr>
          <w:ilvl w:val="0"/>
          <w:numId w:val="1"/>
        </w:numPr>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auto"/>
          </w:rPr>
          <w:t xml:space="preserve">the Registrant’s Current Reports on Form 8-K filed on each of </w:t>
        </w:r>
        <w:r>
          <w:rPr>
            <w:rFonts w:ascii="Times New Roman" w:cs="Times New Roman" w:eastAsia="Times New Roman" w:hAnsi="Times New Roman"/>
            <w:sz w:val="18"/>
            <w:szCs w:val="18"/>
            <w:u w:val="single" w:color="auto"/>
            <w:color w:val="0000FF"/>
          </w:rPr>
          <w:t>January 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14,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May 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than information therein that is furnished and not deemed filed with the Commission); and</w:t>
        </w:r>
      </w:hyperlink>
    </w:p>
    <w:p>
      <w:pPr>
        <w:spacing w:after="0" w:line="109" w:lineRule="exact"/>
        <w:rPr>
          <w:rFonts w:ascii="Times New Roman" w:cs="Times New Roman" w:eastAsia="Times New Roman" w:hAnsi="Times New Roman"/>
          <w:sz w:val="18"/>
          <w:szCs w:val="18"/>
          <w:color w:val="0000FF"/>
        </w:rPr>
      </w:pPr>
    </w:p>
    <w:p>
      <w:pPr>
        <w:ind w:left="1200" w:right="1120" w:hanging="401"/>
        <w:spacing w:after="0" w:line="277" w:lineRule="auto"/>
        <w:tabs>
          <w:tab w:leader="none" w:pos="1200" w:val="left"/>
        </w:tabs>
        <w:numPr>
          <w:ilvl w:val="0"/>
          <w:numId w:val="1"/>
        </w:numPr>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auto"/>
          </w:rPr>
          <w:t xml:space="preserve">the description of the Registrant’s Class A Common Stock filed as </w:t>
        </w:r>
        <w:r>
          <w:rPr>
            <w:rFonts w:ascii="Times New Roman" w:cs="Times New Roman" w:eastAsia="Times New Roman" w:hAnsi="Times New Roman"/>
            <w:sz w:val="18"/>
            <w:szCs w:val="18"/>
            <w:u w:val="single" w:color="auto"/>
            <w:color w:val="0000FF"/>
          </w:rPr>
          <w:t>Exhibit 4.1 to the Registrant’s Annual Report on Form 10-</w:t>
        </w:r>
      </w:hyperlink>
      <w:hyperlink r:id="rId17">
        <w:r>
          <w:rPr>
            <w:rFonts w:ascii="Times New Roman" w:cs="Times New Roman" w:eastAsia="Times New Roman" w:hAnsi="Times New Roman"/>
            <w:sz w:val="18"/>
            <w:szCs w:val="18"/>
            <w:u w:val="single" w:color="auto"/>
            <w:color w:val="0000FF"/>
          </w:rPr>
          <w:t>K for the fiscal year ended December 31, 2025</w:t>
        </w:r>
        <w:r>
          <w:rPr>
            <w:rFonts w:ascii="Times New Roman" w:cs="Times New Roman" w:eastAsia="Times New Roman" w:hAnsi="Times New Roman"/>
            <w:sz w:val="18"/>
            <w:szCs w:val="18"/>
            <w:color w:val="000000"/>
          </w:rPr>
          <w:t>.</w:t>
        </w:r>
      </w:hyperlink>
    </w:p>
    <w:p>
      <w:pPr>
        <w:spacing w:after="0" w:line="284" w:lineRule="exact"/>
        <w:rPr>
          <w:rFonts w:ascii="Times New Roman" w:cs="Times New Roman" w:eastAsia="Times New Roman" w:hAnsi="Times New Roman"/>
          <w:sz w:val="18"/>
          <w:szCs w:val="18"/>
          <w:color w:val="auto"/>
        </w:rPr>
      </w:pPr>
    </w:p>
    <w:p>
      <w:pPr>
        <w:ind w:right="20" w:firstLine="641"/>
        <w:spacing w:after="0" w:line="270" w:lineRule="auto"/>
        <w:rPr>
          <w:sz w:val="20"/>
          <w:szCs w:val="20"/>
          <w:color w:val="auto"/>
        </w:rPr>
      </w:pPr>
      <w:r>
        <w:rPr>
          <w:rFonts w:ascii="Times New Roman" w:cs="Times New Roman" w:eastAsia="Times New Roman" w:hAnsi="Times New Roman"/>
          <w:sz w:val="17"/>
          <w:szCs w:val="17"/>
          <w:color w:val="auto"/>
        </w:rPr>
        <w:t>All documents subsequently filed by the Registrant pursuant to Sections 13(a), 13(c), 14 or 15(d) of the Exchange Act prior to the filing of a post-effective amendment indicating that all securities offered hereby have been sold or which deregisters all securities then remaining unsold, shall be deemed incorporated by reference in this Registration Statement and to be a part hereof from the date of the filing of such documents (other than information therein that is furnished and not deemed filed with the Commission).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6"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04" w:lineRule="exact"/>
        <w:rPr>
          <w:rFonts w:ascii="Times New Roman" w:cs="Times New Roman" w:eastAsia="Times New Roman" w:hAnsi="Times New Roman"/>
          <w:sz w:val="18"/>
          <w:szCs w:val="18"/>
          <w:color w:val="auto"/>
        </w:rPr>
      </w:pPr>
    </w:p>
    <w:p>
      <w:pPr>
        <w:ind w:right="120" w:firstLine="641"/>
        <w:spacing w:after="0" w:line="277" w:lineRule="auto"/>
        <w:rPr>
          <w:sz w:val="20"/>
          <w:szCs w:val="20"/>
          <w:color w:val="auto"/>
        </w:rPr>
      </w:pPr>
      <w:r>
        <w:rPr>
          <w:rFonts w:ascii="Times New Roman" w:cs="Times New Roman" w:eastAsia="Times New Roman" w:hAnsi="Times New Roman"/>
          <w:sz w:val="18"/>
          <w:szCs w:val="18"/>
          <w:color w:val="auto"/>
        </w:rPr>
        <w:t>The first paragraph of “Item 6. Indemnification of Directors and Officers” in the Prior Registration Statement is hereby amended and restated in its entirety as follows:</w:t>
      </w:r>
    </w:p>
    <w:p>
      <w:pPr>
        <w:spacing w:after="0" w:line="190" w:lineRule="exact"/>
        <w:rPr>
          <w:rFonts w:ascii="Times New Roman" w:cs="Times New Roman" w:eastAsia="Times New Roman" w:hAnsi="Times New Roman"/>
          <w:sz w:val="18"/>
          <w:szCs w:val="18"/>
          <w:color w:val="auto"/>
        </w:rPr>
      </w:pPr>
    </w:p>
    <w:p>
      <w:pPr>
        <w:ind w:right="60" w:firstLine="178"/>
        <w:spacing w:after="0" w:line="252"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 or officer’s duty of loyalty to the corporation or its stockholders, (ii) for acts or omissions not in good faith or which involve intentional misconduct or a knowing violation of law, (iii) of a director under Section 174 of the DGCL (regarding, among other things, the payment of unlawful dividends or unlawful stock purchases or redemptions), (iv) for any transaction from which the director or officer derived an improper personal benefit or (v) of an officer in any action by or in the right of the corporation. The Registrant’s amended and restated certificate of incorporation provides for such limitation of liability.</w:t>
      </w:r>
    </w:p>
    <w:p>
      <w:pPr>
        <w:sectPr>
          <w:pgSz w:w="11900" w:h="16838" w:orient="portrait"/>
          <w:cols w:equalWidth="0" w:num="1">
            <w:col w:w="11240"/>
          </w:cols>
          <w:pgMar w:left="320" w:top="1346" w:right="3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Registration Statement.</w:t>
      </w:r>
    </w:p>
    <w:p>
      <w:pPr>
        <w:spacing w:after="0" w:line="234" w:lineRule="exact"/>
        <w:rPr>
          <w:sz w:val="20"/>
          <w:szCs w:val="20"/>
          <w:color w:val="auto"/>
        </w:rPr>
      </w:pPr>
    </w:p>
    <w:p>
      <w:pPr>
        <w:ind w:left="20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3" w:lineRule="exact"/>
        <w:rPr>
          <w:sz w:val="20"/>
          <w:szCs w:val="20"/>
          <w:color w:val="auto"/>
        </w:rPr>
      </w:pPr>
    </w:p>
    <w:p>
      <w:pPr>
        <w:ind w:left="1000" w:right="40" w:hanging="306"/>
        <w:spacing w:after="0" w:line="235" w:lineRule="auto"/>
        <w:rPr>
          <w:sz w:val="20"/>
          <w:szCs w:val="20"/>
          <w:color w:val="auto"/>
        </w:rPr>
      </w:pPr>
      <w:r>
        <w:rPr>
          <w:rFonts w:ascii="Times New Roman" w:cs="Times New Roman" w:eastAsia="Times New Roman" w:hAnsi="Times New Roman"/>
          <w:sz w:val="18"/>
          <w:szCs w:val="18"/>
          <w:u w:val="single" w:color="auto"/>
          <w:color w:val="0000FF"/>
        </w:rPr>
        <w:t>4.1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Amended and Restated Angi Inc. 2017 Stock and Annual Incentive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Plan.</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4.2  Amended and Restated Certificate of Incorporation of Angi Inc.</w:t>
      </w:r>
    </w:p>
    <w:p>
      <w:pPr>
        <w:spacing w:after="0" w:line="274" w:lineRule="exact"/>
        <w:rPr>
          <w:sz w:val="20"/>
          <w:szCs w:val="20"/>
          <w:color w:val="auto"/>
        </w:rPr>
      </w:pPr>
    </w:p>
    <w:p>
      <w:pPr>
        <w:ind w:left="1000" w:right="500" w:hanging="360"/>
        <w:spacing w:after="0" w:line="235" w:lineRule="auto"/>
        <w:rPr>
          <w:sz w:val="20"/>
          <w:szCs w:val="20"/>
          <w:color w:val="auto"/>
        </w:rPr>
      </w:pPr>
      <w:r>
        <w:rPr>
          <w:rFonts w:ascii="Times New Roman" w:cs="Times New Roman" w:eastAsia="Times New Roman" w:hAnsi="Times New Roman"/>
          <w:sz w:val="18"/>
          <w:szCs w:val="18"/>
          <w:color w:val="auto"/>
        </w:rPr>
        <w:t>4.3 Amended and Restated Certificate of Incorporation of ANGI Homeservices Inc.</w:t>
      </w:r>
    </w:p>
    <w:p>
      <w:pPr>
        <w:spacing w:after="0" w:line="76" w:lineRule="exact"/>
        <w:rPr>
          <w:sz w:val="20"/>
          <w:szCs w:val="20"/>
          <w:color w:val="auto"/>
        </w:rPr>
      </w:pPr>
    </w:p>
    <w:p>
      <w:pPr>
        <w:jc w:val="both"/>
        <w:ind w:left="1000" w:hanging="360"/>
        <w:spacing w:after="0" w:line="224" w:lineRule="auto"/>
        <w:rPr>
          <w:sz w:val="20"/>
          <w:szCs w:val="20"/>
          <w:color w:val="auto"/>
        </w:rPr>
      </w:pPr>
      <w:r>
        <w:rPr>
          <w:rFonts w:ascii="Times New Roman" w:cs="Times New Roman" w:eastAsia="Times New Roman" w:hAnsi="Times New Roman"/>
          <w:sz w:val="18"/>
          <w:szCs w:val="18"/>
          <w:color w:val="auto"/>
        </w:rPr>
        <w:t>4.4 Certificate of Amendment to the Amended and Restated Certificate of Incorporation of ANGI Homeservices Inc. (effective as of March 17, 2021).</w:t>
      </w:r>
    </w:p>
    <w:p>
      <w:pPr>
        <w:spacing w:after="0" w:line="8" w:lineRule="exact"/>
        <w:rPr>
          <w:sz w:val="20"/>
          <w:szCs w:val="20"/>
          <w:color w:val="auto"/>
        </w:rPr>
      </w:pPr>
    </w:p>
    <w:p>
      <w:pPr>
        <w:ind w:left="1000" w:right="20" w:hanging="360"/>
        <w:spacing w:after="0" w:line="235" w:lineRule="auto"/>
        <w:rPr>
          <w:sz w:val="20"/>
          <w:szCs w:val="20"/>
          <w:color w:val="auto"/>
        </w:rPr>
      </w:pPr>
      <w:r>
        <w:rPr>
          <w:rFonts w:ascii="Times New Roman" w:cs="Times New Roman" w:eastAsia="Times New Roman" w:hAnsi="Times New Roman"/>
          <w:sz w:val="18"/>
          <w:szCs w:val="18"/>
          <w:color w:val="auto"/>
        </w:rPr>
        <w:t>4.5 Certificate of Amendment to the Amended and Restated Certificate of Incorporation of Angi Inc. (dated as of June 13, 2024).</w:t>
      </w:r>
    </w:p>
    <w:p>
      <w:pPr>
        <w:spacing w:after="0" w:line="76" w:lineRule="exact"/>
        <w:rPr>
          <w:sz w:val="20"/>
          <w:szCs w:val="20"/>
          <w:color w:val="auto"/>
        </w:rPr>
      </w:pPr>
    </w:p>
    <w:p>
      <w:pPr>
        <w:ind w:left="1000" w:right="20" w:hanging="360"/>
        <w:spacing w:after="0" w:line="235" w:lineRule="auto"/>
        <w:rPr>
          <w:sz w:val="20"/>
          <w:szCs w:val="20"/>
          <w:color w:val="auto"/>
        </w:rPr>
      </w:pPr>
      <w:r>
        <w:rPr>
          <w:rFonts w:ascii="Times New Roman" w:cs="Times New Roman" w:eastAsia="Times New Roman" w:hAnsi="Times New Roman"/>
          <w:sz w:val="18"/>
          <w:szCs w:val="18"/>
          <w:color w:val="auto"/>
        </w:rPr>
        <w:t>4.6 Certificate of Amendment to the Amended and Restated Certificate of Incorporation of Angi Inc. (dated as of March 21, 2025).</w:t>
      </w:r>
    </w:p>
    <w:p>
      <w:pPr>
        <w:spacing w:after="0" w:line="76" w:lineRule="exact"/>
        <w:rPr>
          <w:sz w:val="20"/>
          <w:szCs w:val="20"/>
          <w:color w:val="auto"/>
        </w:rPr>
      </w:pPr>
    </w:p>
    <w:p>
      <w:pPr>
        <w:ind w:left="1000" w:right="20" w:hanging="360"/>
        <w:spacing w:after="0" w:line="235" w:lineRule="auto"/>
        <w:rPr>
          <w:sz w:val="20"/>
          <w:szCs w:val="20"/>
          <w:color w:val="auto"/>
        </w:rPr>
      </w:pPr>
      <w:r>
        <w:rPr>
          <w:rFonts w:ascii="Times New Roman" w:cs="Times New Roman" w:eastAsia="Times New Roman" w:hAnsi="Times New Roman"/>
          <w:sz w:val="18"/>
          <w:szCs w:val="18"/>
          <w:color w:val="auto"/>
        </w:rPr>
        <w:t>4.7 Certificate of Amendment to the Amended and Restated Certificate of Incorporation of Angi Inc. (dated as of March 31, 2025).</w:t>
      </w:r>
    </w:p>
    <w:p>
      <w:pPr>
        <w:spacing w:after="0" w:line="7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4.8  Amended and Restated Bylaws (as amended April 30, 2026).</w:t>
      </w: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FF"/>
        </w:rPr>
        <w:t>5.1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Opinion of Faegre Drinker Biddle &amp; Reath LLP.</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23.1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Consent of Ernst &amp; Young LLP.</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23.2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Consent of Faegre Drinker Biddle &amp; Reath LLP.</w:t>
      </w:r>
    </w:p>
    <w:p>
      <w:pPr>
        <w:spacing w:after="0" w:line="60" w:lineRule="exact"/>
        <w:rPr>
          <w:sz w:val="20"/>
          <w:szCs w:val="20"/>
          <w:color w:val="auto"/>
        </w:rPr>
      </w:pPr>
    </w:p>
    <w:p>
      <w:pPr>
        <w:ind w:left="1000" w:right="740" w:hanging="395"/>
        <w:spacing w:after="0" w:line="277" w:lineRule="auto"/>
        <w:rPr>
          <w:sz w:val="20"/>
          <w:szCs w:val="20"/>
          <w:color w:val="auto"/>
        </w:rPr>
      </w:pPr>
      <w:r>
        <w:rPr>
          <w:rFonts w:ascii="Times New Roman" w:cs="Times New Roman" w:eastAsia="Times New Roman" w:hAnsi="Times New Roman"/>
          <w:sz w:val="18"/>
          <w:szCs w:val="18"/>
          <w:u w:val="single" w:color="auto"/>
          <w:color w:val="0000FF"/>
        </w:rPr>
        <w:t>24.1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Power of Attorney (included on the signature page of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Registration Statement).</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0000FF"/>
        </w:rPr>
        <w:t>107.1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0" w:lineRule="exact"/>
        <w:rPr>
          <w:sz w:val="20"/>
          <w:szCs w:val="20"/>
          <w:color w:val="auto"/>
        </w:rPr>
      </w:pPr>
    </w:p>
    <w:p>
      <w:pPr>
        <w:spacing w:after="0" w:line="277" w:lineRule="auto"/>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u w:val="single" w:color="auto"/>
            <w:color w:val="0000FF"/>
          </w:rPr>
          <w:t>Exhibit 3.1 to the Registrant’s Quarterly Report on Form 10-Q for the</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fiscal quarter ended June 30, 2024</w:t>
        </w:r>
        <w:r>
          <w:rPr>
            <w:rFonts w:ascii="Times New Roman" w:cs="Times New Roman" w:eastAsia="Times New Roman" w:hAnsi="Times New Roman"/>
            <w:sz w:val="18"/>
            <w:szCs w:val="18"/>
            <w:color w:val="000000"/>
          </w:rPr>
          <w:t>.</w:t>
        </w:r>
      </w:hyperlink>
    </w:p>
    <w:p>
      <w:pPr>
        <w:spacing w:after="0" w:line="3" w:lineRule="exact"/>
        <w:rPr>
          <w:sz w:val="20"/>
          <w:szCs w:val="20"/>
          <w:color w:val="auto"/>
        </w:rPr>
      </w:pPr>
    </w:p>
    <w:p>
      <w:pPr>
        <w:ind w:right="100"/>
        <w:spacing w:after="0" w:line="277" w:lineRule="auto"/>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u w:val="single" w:color="auto"/>
            <w:color w:val="0000FF"/>
          </w:rPr>
          <w:t>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October 2, 2017</w:t>
        </w:r>
        <w:r>
          <w:rPr>
            <w:rFonts w:ascii="Times New Roman" w:cs="Times New Roman" w:eastAsia="Times New Roman" w:hAnsi="Times New Roman"/>
            <w:sz w:val="18"/>
            <w:szCs w:val="18"/>
            <w:color w:val="000000"/>
          </w:rPr>
          <w:t>.</w:t>
        </w:r>
      </w:hyperlink>
    </w:p>
    <w:p>
      <w:pPr>
        <w:spacing w:after="0" w:line="3" w:lineRule="exact"/>
        <w:rPr>
          <w:sz w:val="20"/>
          <w:szCs w:val="20"/>
          <w:color w:val="auto"/>
        </w:rPr>
      </w:pPr>
    </w:p>
    <w:p>
      <w:pPr>
        <w:ind w:right="100"/>
        <w:spacing w:after="0" w:line="277" w:lineRule="auto"/>
        <w:rPr>
          <w:rFonts w:ascii="Times New Roman" w:cs="Times New Roman" w:eastAsia="Times New Roman" w:hAnsi="Times New Roman"/>
          <w:sz w:val="18"/>
          <w:szCs w:val="18"/>
          <w:u w:val="single" w:color="auto"/>
          <w:color w:val="0000FF"/>
        </w:rPr>
      </w:pPr>
      <w:hyperlink r:id="rId20">
        <w:r>
          <w:rPr>
            <w:rFonts w:ascii="Times New Roman" w:cs="Times New Roman" w:eastAsia="Times New Roman" w:hAnsi="Times New Roman"/>
            <w:sz w:val="18"/>
            <w:szCs w:val="18"/>
            <w:u w:val="single" w:color="auto"/>
            <w:color w:val="0000FF"/>
          </w:rPr>
          <w:t>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March 17, 2021.</w:t>
        </w:r>
      </w:hyperlink>
    </w:p>
    <w:p>
      <w:pPr>
        <w:spacing w:after="0" w:line="110" w:lineRule="exact"/>
        <w:rPr>
          <w:sz w:val="20"/>
          <w:szCs w:val="20"/>
          <w:color w:val="auto"/>
        </w:rPr>
      </w:pPr>
    </w:p>
    <w:p>
      <w:pPr>
        <w:ind w:right="100"/>
        <w:spacing w:after="0" w:line="277" w:lineRule="auto"/>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June 14, 2024</w:t>
        </w:r>
        <w:r>
          <w:rPr>
            <w:rFonts w:ascii="Times New Roman" w:cs="Times New Roman" w:eastAsia="Times New Roman" w:hAnsi="Times New Roman"/>
            <w:sz w:val="18"/>
            <w:szCs w:val="18"/>
            <w:color w:val="000000"/>
          </w:rPr>
          <w:t>.</w:t>
        </w:r>
      </w:hyperlink>
    </w:p>
    <w:p>
      <w:pPr>
        <w:spacing w:after="0" w:line="3" w:lineRule="exact"/>
        <w:rPr>
          <w:sz w:val="20"/>
          <w:szCs w:val="20"/>
          <w:color w:val="auto"/>
        </w:rPr>
      </w:pPr>
    </w:p>
    <w:p>
      <w:pPr>
        <w:ind w:right="100"/>
        <w:spacing w:after="0" w:line="277" w:lineRule="auto"/>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u w:val="single" w:color="auto"/>
            <w:color w:val="0000FF"/>
          </w:rPr>
          <w:t>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March 24, 2025</w:t>
        </w:r>
        <w:r>
          <w:rPr>
            <w:rFonts w:ascii="Times New Roman" w:cs="Times New Roman" w:eastAsia="Times New Roman" w:hAnsi="Times New Roman"/>
            <w:sz w:val="18"/>
            <w:szCs w:val="18"/>
            <w:color w:val="000000"/>
          </w:rPr>
          <w:t>.</w:t>
        </w:r>
      </w:hyperlink>
    </w:p>
    <w:p>
      <w:pPr>
        <w:spacing w:after="0" w:line="3" w:lineRule="exact"/>
        <w:rPr>
          <w:sz w:val="20"/>
          <w:szCs w:val="20"/>
          <w:color w:val="auto"/>
        </w:rPr>
      </w:pPr>
    </w:p>
    <w:p>
      <w:pPr>
        <w:ind w:right="100"/>
        <w:spacing w:after="0" w:line="277" w:lineRule="auto"/>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u w:val="single" w:color="auto"/>
            <w:color w:val="0000FF"/>
          </w:rPr>
          <w:t>Exhibit 3.1 to the Registrant’s Current Report on Form 8-K, filed on</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April 1, 2025</w:t>
        </w:r>
        <w:r>
          <w:rPr>
            <w:rFonts w:ascii="Times New Roman" w:cs="Times New Roman" w:eastAsia="Times New Roman" w:hAnsi="Times New Roman"/>
            <w:sz w:val="18"/>
            <w:szCs w:val="18"/>
            <w:color w:val="000000"/>
          </w:rPr>
          <w:t>.</w:t>
        </w:r>
      </w:hyperlink>
    </w:p>
    <w:p>
      <w:pPr>
        <w:spacing w:after="0" w:line="3" w:lineRule="exact"/>
        <w:rPr>
          <w:sz w:val="20"/>
          <w:szCs w:val="20"/>
          <w:color w:val="auto"/>
        </w:rPr>
      </w:pPr>
    </w:p>
    <w:p>
      <w:pPr>
        <w:spacing w:after="0" w:line="277" w:lineRule="auto"/>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Exhibit 3.7 to the Registrant’s Quarterly Report on Form 10-Q for the</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fiscal quarter ended March 31, 2026.</w:t>
        </w:r>
      </w:hyperlink>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Exhibit 5.1.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5840" w:space="180"/>
            <w:col w:w="4960"/>
          </w:cols>
          <w:pgMar w:left="320" w:top="1319" w:right="5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4" w:lineRule="exact"/>
        <w:rPr>
          <w:sz w:val="20"/>
          <w:szCs w:val="20"/>
          <w:color w:val="auto"/>
        </w:rPr>
      </w:pPr>
    </w:p>
    <w:p>
      <w:pPr>
        <w:ind w:right="2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10th day of June, 2026.</w:t>
      </w:r>
    </w:p>
    <w:p>
      <w:pPr>
        <w:spacing w:after="0" w:line="1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Angi Inc.</w:t>
      </w:r>
    </w:p>
    <w:p>
      <w:pPr>
        <w:spacing w:after="0" w:line="251" w:lineRule="exact"/>
        <w:rPr>
          <w:sz w:val="20"/>
          <w:szCs w:val="20"/>
          <w:color w:val="auto"/>
        </w:rPr>
      </w:pPr>
    </w:p>
    <w:p>
      <w:pPr>
        <w:ind w:left="5780"/>
        <w:spacing w:after="0"/>
        <w:tabs>
          <w:tab w:leader="none" w:pos="6240" w:val="left"/>
        </w:tabs>
        <w:rPr>
          <w:sz w:val="20"/>
          <w:szCs w:val="20"/>
          <w:color w:val="auto"/>
        </w:rPr>
      </w:pPr>
      <w:r>
        <w:rPr>
          <w:rFonts w:ascii="Times New Roman" w:cs="Times New Roman" w:eastAsia="Times New Roman" w:hAnsi="Times New Roman"/>
          <w:sz w:val="18"/>
          <w:szCs w:val="18"/>
          <w:color w:val="auto"/>
        </w:rPr>
        <w:t>By:</w:t>
        <w:tab/>
        <w:t>/s/ Jeffrey W. Kip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-8890</wp:posOffset>
            </wp:positionV>
            <wp:extent cx="825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6" w:lineRule="exact"/>
        <w:rPr>
          <w:sz w:val="20"/>
          <w:szCs w:val="20"/>
          <w:color w:val="auto"/>
        </w:rPr>
      </w:pPr>
    </w:p>
    <w:p>
      <w:pPr>
        <w:ind w:left="5780"/>
        <w:spacing w:after="0"/>
        <w:tabs>
          <w:tab w:leader="none" w:pos="6460" w:val="left"/>
        </w:tabs>
        <w:rPr>
          <w:sz w:val="20"/>
          <w:szCs w:val="20"/>
          <w:color w:val="auto"/>
        </w:rPr>
      </w:pPr>
      <w:r>
        <w:rPr>
          <w:rFonts w:ascii="Times New Roman" w:cs="Times New Roman" w:eastAsia="Times New Roman" w:hAnsi="Times New Roman"/>
          <w:sz w:val="18"/>
          <w:szCs w:val="18"/>
          <w:color w:val="auto"/>
        </w:rPr>
        <w:t>Name:</w:t>
        <w:tab/>
        <w:t>Jeffrey W. Kip</w:t>
      </w:r>
    </w:p>
    <w:p>
      <w:pPr>
        <w:spacing w:after="0" w:line="7" w:lineRule="exact"/>
        <w:rPr>
          <w:sz w:val="20"/>
          <w:szCs w:val="20"/>
          <w:color w:val="auto"/>
        </w:rPr>
      </w:pPr>
    </w:p>
    <w:p>
      <w:pPr>
        <w:ind w:left="578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42"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Julie Hoarau and Shannon M. Shaw,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 This power of attorney may be signed in several counterparts.</w:t>
      </w:r>
    </w:p>
    <w:p>
      <w:pPr>
        <w:sectPr>
          <w:pgSz w:w="11900" w:h="16838" w:orient="portrait"/>
          <w:cols w:equalWidth="0" w:num="1">
            <w:col w:w="11240"/>
          </w:cols>
          <w:pgMar w:left="320" w:top="1159" w:right="339" w:bottom="1440" w:gutter="0" w:footer="0" w:header="0"/>
        </w:sectPr>
      </w:pPr>
    </w:p>
    <w:bookmarkStart w:id="4" w:name="page5"/>
    <w:bookmarkEnd w:id="4"/>
    <w:p>
      <w:pPr>
        <w:ind w:right="26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1"/>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 KIP</w:t>
            </w:r>
          </w:p>
        </w:tc>
        <w:tc>
          <w:tcPr>
            <w:tcW w:w="140" w:type="dxa"/>
            <w:vAlign w:val="bottom"/>
          </w:tcPr>
          <w:p>
            <w:pPr>
              <w:spacing w:after="0"/>
              <w:rPr>
                <w:sz w:val="22"/>
                <w:szCs w:val="22"/>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Executive Officer, 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Jeffrey W. Kip</w:t>
            </w:r>
          </w:p>
        </w:tc>
        <w:tc>
          <w:tcPr>
            <w:tcW w:w="140" w:type="dxa"/>
            <w:vAlign w:val="bottom"/>
          </w:tcPr>
          <w:p>
            <w:pPr>
              <w:spacing w:after="0"/>
              <w:rPr>
                <w:sz w:val="19"/>
                <w:szCs w:val="19"/>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HOARAU</w:t>
            </w:r>
          </w:p>
        </w:tc>
        <w:tc>
          <w:tcPr>
            <w:tcW w:w="140" w:type="dxa"/>
            <w:vAlign w:val="bottom"/>
          </w:tcPr>
          <w:p>
            <w:pPr>
              <w:spacing w:after="0"/>
              <w:rPr>
                <w:sz w:val="23"/>
                <w:szCs w:val="23"/>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Julie Hoarau</w:t>
            </w:r>
          </w:p>
        </w:tc>
        <w:tc>
          <w:tcPr>
            <w:tcW w:w="140" w:type="dxa"/>
            <w:vAlign w:val="bottom"/>
          </w:tcPr>
          <w:p>
            <w:pPr>
              <w:spacing w:after="0"/>
              <w:rPr>
                <w:sz w:val="19"/>
                <w:szCs w:val="19"/>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AUSTIN KAPLICER</w:t>
            </w:r>
          </w:p>
        </w:tc>
        <w:tc>
          <w:tcPr>
            <w:tcW w:w="140" w:type="dxa"/>
            <w:vAlign w:val="bottom"/>
          </w:tcPr>
          <w:p>
            <w:pPr>
              <w:spacing w:after="0"/>
              <w:rPr>
                <w:sz w:val="23"/>
                <w:szCs w:val="23"/>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Austin Kaplicer</w:t>
            </w:r>
          </w:p>
        </w:tc>
        <w:tc>
          <w:tcPr>
            <w:tcW w:w="140" w:type="dxa"/>
            <w:vAlign w:val="bottom"/>
          </w:tcPr>
          <w:p>
            <w:pPr>
              <w:spacing w:after="0"/>
              <w:rPr>
                <w:sz w:val="19"/>
                <w:szCs w:val="19"/>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ANGELA R. HICKS BOWMAN</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Angela R. Hicks Bowman</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SANDRA BUCHANAN</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Sandra Buchanan</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R. EVANS</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R. Evans</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ALESIA J. HAAS</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Alesia J. Haas</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02"/>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M. LEVIN</w:t>
            </w: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34"/>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M. Levin</w:t>
            </w:r>
          </w:p>
        </w:tc>
        <w:tc>
          <w:tcPr>
            <w:tcW w:w="140" w:type="dxa"/>
            <w:vAlign w:val="bottom"/>
          </w:tcPr>
          <w:p>
            <w:pPr>
              <w:spacing w:after="0"/>
              <w:rPr>
                <w:sz w:val="20"/>
                <w:szCs w:val="20"/>
                <w:color w:val="auto"/>
              </w:rPr>
            </w:pPr>
          </w:p>
        </w:tc>
        <w:tc>
          <w:tcPr>
            <w:tcW w:w="4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Chairman of the Board and Director</w:t>
            </w:r>
          </w:p>
        </w:tc>
        <w:tc>
          <w:tcPr>
            <w:tcW w:w="3080" w:type="dxa"/>
            <w:vAlign w:val="bottom"/>
          </w:tcPr>
          <w:p>
            <w:pPr>
              <w:spacing w:after="0"/>
              <w:rPr>
                <w:sz w:val="20"/>
                <w:szCs w:val="20"/>
                <w:color w:val="auto"/>
              </w:rPr>
            </w:pPr>
          </w:p>
        </w:tc>
      </w:tr>
      <w:tr>
        <w:trPr>
          <w:trHeight w:val="280"/>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JEREMY G. PHILIPS</w:t>
            </w:r>
          </w:p>
        </w:tc>
        <w:tc>
          <w:tcPr>
            <w:tcW w:w="140" w:type="dxa"/>
            <w:vAlign w:val="bottom"/>
          </w:tcPr>
          <w:p>
            <w:pPr>
              <w:spacing w:after="0"/>
              <w:rPr>
                <w:sz w:val="24"/>
                <w:szCs w:val="24"/>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Jeremy G. Philips</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C. PICKETT, JR.</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C. Pickett, Jr.</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GLENN H. SCHIFFMAN</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Glenn H. Schiffman</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7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SUZY WELCH</w:t>
            </w:r>
          </w:p>
        </w:tc>
        <w:tc>
          <w:tcPr>
            <w:tcW w:w="140" w:type="dxa"/>
            <w:vAlign w:val="bottom"/>
          </w:tcPr>
          <w:p>
            <w:pPr>
              <w:spacing w:after="0"/>
              <w:rPr>
                <w:sz w:val="23"/>
                <w:szCs w:val="23"/>
                <w:color w:val="auto"/>
              </w:rPr>
            </w:pPr>
          </w:p>
        </w:tc>
        <w:tc>
          <w:tcPr>
            <w:tcW w:w="4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2026</w:t>
            </w:r>
          </w:p>
        </w:tc>
      </w:tr>
      <w:tr>
        <w:trPr>
          <w:trHeight w:val="226"/>
        </w:trPr>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Suzy Welch</w:t>
            </w: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ectPr>
          <w:pgSz w:w="11900" w:h="16838" w:orient="portrait"/>
          <w:cols w:equalWidth="0" w:num="1">
            <w:col w:w="11240"/>
          </w:cols>
          <w:pgMar w:left="320" w:top="923" w:right="339" w:bottom="1440" w:gutter="0" w:footer="0" w:header="0"/>
        </w:sectPr>
      </w:pPr>
    </w:p>
    <w:bookmarkStart w:id="5" w:name="page6"/>
    <w:bookmarkEnd w:id="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Angi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Stock,</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2,400,000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$ 6.015</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$ 1,993.61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14,436,000.00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 value</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$0.001</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$ 1,993.61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14,436,000.00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$ 1,993.61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80" w:firstLine="2"/>
        <w:spacing w:after="0" w:line="243" w:lineRule="auto"/>
        <w:tabs>
          <w:tab w:leader="none" w:pos="1121" w:val="left"/>
        </w:tabs>
        <w:numPr>
          <w:ilvl w:val="0"/>
          <w:numId w:val="2"/>
        </w:numPr>
        <w:rPr>
          <w:rFonts w:ascii="Arial" w:cs="Arial" w:eastAsia="Arial" w:hAnsi="Arial"/>
          <w:sz w:val="21"/>
          <w:szCs w:val="21"/>
          <w:color w:val="auto"/>
        </w:rPr>
      </w:pPr>
      <w:r>
        <w:rPr>
          <w:rFonts w:ascii="Arial" w:cs="Arial" w:eastAsia="Arial" w:hAnsi="Arial"/>
          <w:sz w:val="21"/>
          <w:szCs w:val="21"/>
          <w:color w:val="auto"/>
        </w:rPr>
        <w:t>This Form S-8 covers up to 2,400,000 shares of Angi Inc. Class A Common Stock, par value $0.001 per share ("Class A Common Stock"), issuable in connection with the settlement of equity awards granted under the Amended and Restated Angi Inc. 2017 Stock and Annual Incentive Plan (the "Amount Registered").</w:t>
      </w:r>
    </w:p>
    <w:p>
      <w:pPr>
        <w:spacing w:after="0" w:line="3" w:lineRule="exact"/>
        <w:rPr>
          <w:rFonts w:ascii="Arial" w:cs="Arial" w:eastAsia="Arial" w:hAnsi="Arial"/>
          <w:sz w:val="21"/>
          <w:szCs w:val="21"/>
          <w:color w:val="auto"/>
        </w:rPr>
      </w:pPr>
    </w:p>
    <w:p>
      <w:pPr>
        <w:ind w:left="800" w:right="740" w:firstLine="2"/>
        <w:spacing w:after="0" w:line="238" w:lineRule="auto"/>
        <w:tabs>
          <w:tab w:leader="none" w:pos="1121" w:val="left"/>
        </w:tabs>
        <w:numPr>
          <w:ilvl w:val="0"/>
          <w:numId w:val="2"/>
        </w:numPr>
        <w:rPr>
          <w:rFonts w:ascii="Arial" w:cs="Arial" w:eastAsia="Arial" w:hAnsi="Arial"/>
          <w:sz w:val="21"/>
          <w:szCs w:val="21"/>
          <w:color w:val="auto"/>
        </w:rPr>
      </w:pPr>
      <w:r>
        <w:rPr>
          <w:rFonts w:ascii="Arial" w:cs="Arial" w:eastAsia="Arial" w:hAnsi="Arial"/>
          <w:sz w:val="21"/>
          <w:szCs w:val="21"/>
          <w:color w:val="auto"/>
        </w:rPr>
        <w:t>Pursuant to Rule 416(a) under the Securities Act, the Amount Registered pursuant to this Form S-8 also covers additional securities that may be offered as a result of stock splits, stock dividends, recapitalizations or similar transactions.</w:t>
      </w:r>
    </w:p>
    <w:p>
      <w:pPr>
        <w:spacing w:after="0" w:line="2" w:lineRule="exact"/>
        <w:rPr>
          <w:rFonts w:ascii="Arial" w:cs="Arial" w:eastAsia="Arial" w:hAnsi="Arial"/>
          <w:sz w:val="21"/>
          <w:szCs w:val="21"/>
          <w:color w:val="auto"/>
        </w:rPr>
      </w:pPr>
    </w:p>
    <w:p>
      <w:pPr>
        <w:ind w:left="800" w:right="720" w:firstLine="2"/>
        <w:spacing w:after="0" w:line="245" w:lineRule="auto"/>
        <w:tabs>
          <w:tab w:leader="none" w:pos="1121"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Proposed Maximum Offering Price Per Unit and Maximum Aggregate Offering Price have been estimated solely for the purpose of calculating the registration fee pursuant to Rules 457(c) and (h) of the Securities Act of 1933, as amended, based on the average of the high and low sale prices of Class A Common Stock, as quoted on the Nasdaq Global Select Market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77470</wp:posOffset>
            </wp:positionV>
            <wp:extent cx="63874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ANGI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2017 STOCK AND ANNUAL INCENTIVE PLAN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Proposed to be Amended and Restated June 10,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Purpose; Definitions</w:t>
      </w:r>
    </w:p>
    <w:p>
      <w:pPr>
        <w:spacing w:after="0" w:line="188" w:lineRule="exact"/>
        <w:rPr>
          <w:sz w:val="20"/>
          <w:szCs w:val="20"/>
          <w:color w:val="auto"/>
        </w:rPr>
      </w:pPr>
    </w:p>
    <w:p>
      <w:pPr>
        <w:ind w:right="220" w:firstLine="641"/>
        <w:spacing w:after="0" w:line="314" w:lineRule="auto"/>
        <w:rPr>
          <w:sz w:val="20"/>
          <w:szCs w:val="20"/>
          <w:color w:val="auto"/>
        </w:rPr>
      </w:pPr>
      <w:r>
        <w:rPr>
          <w:rFonts w:ascii="Times New Roman" w:cs="Times New Roman" w:eastAsia="Times New Roman" w:hAnsi="Times New Roman"/>
          <w:sz w:val="18"/>
          <w:szCs w:val="18"/>
          <w:color w:val="auto"/>
        </w:rPr>
        <w:t>The purposes of this Plan are to give the Company a competitive advantage in attracting, retaining, and motivating officers, employees, directors, and/or consultants and to provide the Company and its Subsidiaries and Affiliates with a stock and incentive plan providing incentives directly linked to stockholder value. Certain terms used herein have definitions given to them in the first place in which they are used. This Plan replaced the HomeAdvisor 2013 Long-Term Incentive Plan (the “Prior Plan”), which Prior Plan was terminated and replaced and superseded by this Plan, except that any awards granted under the Prior Plan (“Prior Plan Awards”) shall remain in effect under this Plan pursuant to their terms. In addition, for purposes of this Plan, the following terms are defined as set forth below:</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“2024 Restatement Effective Date” has the meaning set forth in Section 12(a).</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“2026 Restatement Effective Date” has the meaning set forth in Section 12(a).</w:t>
      </w:r>
    </w:p>
    <w:p>
      <w:pPr>
        <w:spacing w:after="0" w:line="184" w:lineRule="exact"/>
        <w:rPr>
          <w:sz w:val="20"/>
          <w:szCs w:val="20"/>
          <w:color w:val="auto"/>
        </w:rPr>
      </w:pPr>
    </w:p>
    <w:p>
      <w:pPr>
        <w:ind w:right="80" w:firstLine="641"/>
        <w:spacing w:after="0" w:line="278" w:lineRule="auto"/>
        <w:rPr>
          <w:sz w:val="20"/>
          <w:szCs w:val="20"/>
          <w:color w:val="auto"/>
        </w:rPr>
      </w:pPr>
      <w:r>
        <w:rPr>
          <w:rFonts w:ascii="Times New Roman" w:cs="Times New Roman" w:eastAsia="Times New Roman" w:hAnsi="Times New Roman"/>
          <w:sz w:val="20"/>
          <w:szCs w:val="20"/>
          <w:color w:val="auto"/>
        </w:rPr>
        <w:t>“Affiliate” means, as applied to any Person, any other Person that directly or indirectly through one or more intermediaries, controls, or is controlled by, or is under common control with, that Person. As used in this definition, the term “control,” including the correlative terms “controls,” “controlled by,” and “under common control with,” means the possession, directly or indirectly, of the power to direct or cause the direction of management or policies (whether through ownership of securities or any partnership or other ownership interest, by contract or otherwise) of a Person.</w:t>
      </w:r>
    </w:p>
    <w:p>
      <w:pPr>
        <w:spacing w:after="0" w:line="111" w:lineRule="exact"/>
        <w:rPr>
          <w:sz w:val="20"/>
          <w:szCs w:val="20"/>
          <w:color w:val="auto"/>
        </w:rPr>
      </w:pPr>
    </w:p>
    <w:p>
      <w:pPr>
        <w:ind w:right="660" w:firstLine="641"/>
        <w:spacing w:after="0" w:line="304" w:lineRule="auto"/>
        <w:rPr>
          <w:sz w:val="20"/>
          <w:szCs w:val="20"/>
          <w:color w:val="auto"/>
        </w:rPr>
      </w:pPr>
      <w:r>
        <w:rPr>
          <w:rFonts w:ascii="Times New Roman" w:cs="Times New Roman" w:eastAsia="Times New Roman" w:hAnsi="Times New Roman"/>
          <w:sz w:val="20"/>
          <w:szCs w:val="20"/>
          <w:color w:val="auto"/>
        </w:rPr>
        <w:t>“Applicable Exchange” means the Nasdaq Stock Market or such other securities exchange as may at the applicable time be the principal market for the Common Stock.</w:t>
      </w:r>
    </w:p>
    <w:p>
      <w:pPr>
        <w:spacing w:after="0" w:line="85" w:lineRule="exact"/>
        <w:rPr>
          <w:sz w:val="20"/>
          <w:szCs w:val="20"/>
          <w:color w:val="auto"/>
        </w:rPr>
      </w:pPr>
    </w:p>
    <w:p>
      <w:pPr>
        <w:ind w:right="340" w:firstLine="641"/>
        <w:spacing w:after="0" w:line="304" w:lineRule="auto"/>
        <w:rPr>
          <w:sz w:val="20"/>
          <w:szCs w:val="20"/>
          <w:color w:val="auto"/>
        </w:rPr>
      </w:pPr>
      <w:r>
        <w:rPr>
          <w:rFonts w:ascii="Times New Roman" w:cs="Times New Roman" w:eastAsia="Times New Roman" w:hAnsi="Times New Roman"/>
          <w:sz w:val="20"/>
          <w:szCs w:val="20"/>
          <w:color w:val="auto"/>
        </w:rPr>
        <w:t>“Award” means an Option, Stock Appreciation Right, Restricted Stock, Restricted Stock Unit, Other Stock-Based Award, or Cash-Based Award granted or assumed pursuant to the terms of this Plan or the Prior Plan, including Prior Plan Awards.</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“Award Agreement” means a written or electronic document or agreement setting forth the terms and conditions of a specific Award.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“Board” means the Board of Directors of the Company.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“Business Combination” has the meaning set forth in Section 10(a)(iii).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“Cash-Based Award” means an Award denominated in a dollar amount.</w:t>
      </w:r>
    </w:p>
    <w:p>
      <w:pPr>
        <w:spacing w:after="0" w:line="184" w:lineRule="exact"/>
        <w:rPr>
          <w:sz w:val="20"/>
          <w:szCs w:val="20"/>
          <w:color w:val="auto"/>
        </w:rPr>
      </w:pPr>
    </w:p>
    <w:p>
      <w:pPr>
        <w:ind w:firstLine="641"/>
        <w:spacing w:after="0" w:line="303" w:lineRule="auto"/>
        <w:rPr>
          <w:sz w:val="20"/>
          <w:szCs w:val="20"/>
          <w:color w:val="auto"/>
        </w:rPr>
      </w:pPr>
      <w:r>
        <w:rPr>
          <w:rFonts w:ascii="Times New Roman" w:cs="Times New Roman" w:eastAsia="Times New Roman" w:hAnsi="Times New Roman"/>
          <w:sz w:val="18"/>
          <w:szCs w:val="18"/>
          <w:color w:val="auto"/>
        </w:rPr>
        <w:t xml:space="preserve">“Cause” means, unless otherwise provided in an Award Agreement, (a) “Cause” as defined in any Individual Agreement to which the applicable Participant is a party, or (b) if there is no such Individual Agreement or if it does not define Cause: (i) the willful or gross neglect by a Participant of his or her employment duties; (ii) the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or conviction for, the commission of a felony offense by a Participant; (iii) a material breach by a Participant of a fiduciary duty owed to the Company or any of its Subsidiaries; (iv) a material breach by a Participant of any nondisclosure, nonsolicitation, or noncompetition obligation owed to the Company or any of its Affiliates;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 before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8" w:right="339" w:bottom="1440" w:gutter="0" w:footer="0" w:header="0"/>
        </w:sectPr>
      </w:pPr>
    </w:p>
    <w:bookmarkStart w:id="7" w:name="page8"/>
    <w:bookmarkEnd w:id="7"/>
    <w:p>
      <w:pPr>
        <w:ind w:right="200"/>
        <w:spacing w:after="0" w:line="284" w:lineRule="auto"/>
        <w:rPr>
          <w:sz w:val="20"/>
          <w:szCs w:val="20"/>
          <w:color w:val="auto"/>
        </w:rPr>
      </w:pPr>
      <w:r>
        <w:rPr>
          <w:rFonts w:ascii="Times New Roman" w:cs="Times New Roman" w:eastAsia="Times New Roman" w:hAnsi="Times New Roman"/>
          <w:sz w:val="20"/>
          <w:szCs w:val="20"/>
          <w:color w:val="auto"/>
        </w:rPr>
        <w:t xml:space="preserve">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review.</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“Change in Control” has the meaning set forth in Section 10(a).</w:t>
      </w:r>
    </w:p>
    <w:p>
      <w:pPr>
        <w:spacing w:after="0" w:line="171" w:lineRule="exact"/>
        <w:rPr>
          <w:sz w:val="20"/>
          <w:szCs w:val="20"/>
          <w:color w:val="auto"/>
        </w:rPr>
      </w:pPr>
    </w:p>
    <w:p>
      <w:pPr>
        <w:ind w:right="60" w:firstLine="641"/>
        <w:spacing w:after="0" w:line="329" w:lineRule="auto"/>
        <w:rPr>
          <w:sz w:val="20"/>
          <w:szCs w:val="20"/>
          <w:color w:val="auto"/>
        </w:rPr>
      </w:pPr>
      <w:r>
        <w:rPr>
          <w:rFonts w:ascii="Times New Roman" w:cs="Times New Roman" w:eastAsia="Times New Roman" w:hAnsi="Times New Roman"/>
          <w:sz w:val="18"/>
          <w:szCs w:val="18"/>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“Commission” means the Securities and Exchange Commission or any successor agency.</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“Committee” has the meaning set forth in Section 2(a).</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“Common Stock” means Class A common stock, par value $0.001 per share, of the Company.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“Company” means Angi Inc., a Delaware corporation, or its successor.</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“Corporate Transaction” has the meaning set forth in Section 3(c)(i).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“Cure Period” has the meaning set forth in Section 10(c).</w:t>
      </w:r>
    </w:p>
    <w:p>
      <w:pPr>
        <w:spacing w:after="0" w:line="171" w:lineRule="exact"/>
        <w:rPr>
          <w:sz w:val="20"/>
          <w:szCs w:val="20"/>
          <w:color w:val="auto"/>
        </w:rPr>
      </w:pPr>
    </w:p>
    <w:p>
      <w:pPr>
        <w:ind w:firstLine="641"/>
        <w:spacing w:after="0" w:line="304" w:lineRule="auto"/>
        <w:rPr>
          <w:sz w:val="20"/>
          <w:szCs w:val="20"/>
          <w:color w:val="auto"/>
        </w:rPr>
      </w:pPr>
      <w:r>
        <w:rPr>
          <w:rFonts w:ascii="Times New Roman" w:cs="Times New Roman" w:eastAsia="Times New Roman" w:hAnsi="Times New Roman"/>
          <w:sz w:val="18"/>
          <w:szCs w:val="18"/>
          <w:color w:val="auto"/>
        </w:rPr>
        <w:t>“Disability” means that a Participant is considered to have a (a) permanent and total disability, as determined under the Company’s long-term disability plan applicable to the Participant, or (b) permanent and total disability as defined in Section 22(e)(3) of the Code; provided that a Participant will not be considered to have a “Disability” unless the Participant is considered “disabled” within the meaning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409A of the Code.</w:t>
      </w:r>
    </w:p>
    <w:p>
      <w:pPr>
        <w:spacing w:after="0" w:line="170" w:lineRule="exact"/>
        <w:rPr>
          <w:sz w:val="20"/>
          <w:szCs w:val="20"/>
          <w:color w:val="auto"/>
        </w:rPr>
      </w:pPr>
    </w:p>
    <w:p>
      <w:pPr>
        <w:ind w:right="40" w:firstLine="641"/>
        <w:spacing w:after="0" w:line="291" w:lineRule="auto"/>
        <w:rPr>
          <w:sz w:val="20"/>
          <w:szCs w:val="20"/>
          <w:color w:val="auto"/>
        </w:rPr>
      </w:pPr>
      <w:r>
        <w:rPr>
          <w:rFonts w:ascii="Times New Roman" w:cs="Times New Roman" w:eastAsia="Times New Roman" w:hAnsi="Times New Roman"/>
          <w:sz w:val="20"/>
          <w:szCs w:val="20"/>
          <w:color w:val="auto"/>
        </w:rPr>
        <w:t>“Disaffiliation”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“Effective Date” has the meaning set forth in Section 12(a).</w:t>
      </w:r>
    </w:p>
    <w:p>
      <w:pPr>
        <w:spacing w:after="0" w:line="171" w:lineRule="exact"/>
        <w:rPr>
          <w:sz w:val="20"/>
          <w:szCs w:val="20"/>
          <w:color w:val="auto"/>
        </w:rPr>
      </w:pPr>
    </w:p>
    <w:p>
      <w:pPr>
        <w:ind w:right="240" w:firstLine="641"/>
        <w:spacing w:after="0" w:line="337" w:lineRule="auto"/>
        <w:rPr>
          <w:sz w:val="20"/>
          <w:szCs w:val="20"/>
          <w:color w:val="auto"/>
        </w:rPr>
      </w:pPr>
      <w:r>
        <w:rPr>
          <w:rFonts w:ascii="Times New Roman" w:cs="Times New Roman" w:eastAsia="Times New Roman" w:hAnsi="Times New Roman"/>
          <w:sz w:val="18"/>
          <w:szCs w:val="18"/>
          <w:color w:val="auto"/>
        </w:rPr>
        <w:t>“Eligible Individuals” means directors, officers, employees, and consultants providing services to the Company or any of its Subsidiaries or Affiliates; provided that no consultant or advisor who provides services in connection with (i) a capital-raising transaction or (ii) promoting or maintaining a market in Company securities to the Company or an Affiliate may be an Eligible Individual.</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“Exchange Act” means the Securities Exchange Act of 1934, as amended from time to time, and any successor thereto.</w:t>
      </w:r>
    </w:p>
    <w:p>
      <w:pPr>
        <w:spacing w:after="0" w:line="171" w:lineRule="exact"/>
        <w:rPr>
          <w:sz w:val="20"/>
          <w:szCs w:val="20"/>
          <w:color w:val="auto"/>
        </w:rPr>
      </w:pPr>
    </w:p>
    <w:p>
      <w:pPr>
        <w:ind w:firstLine="641"/>
        <w:spacing w:after="0" w:line="282" w:lineRule="auto"/>
        <w:rPr>
          <w:sz w:val="20"/>
          <w:szCs w:val="20"/>
          <w:color w:val="auto"/>
        </w:rPr>
      </w:pPr>
      <w:r>
        <w:rPr>
          <w:rFonts w:ascii="Times New Roman" w:cs="Times New Roman" w:eastAsia="Times New Roman" w:hAnsi="Times New Roman"/>
          <w:sz w:val="20"/>
          <w:szCs w:val="20"/>
          <w:color w:val="auto"/>
        </w:rPr>
        <w:t>“Fair Market Value” means, unless otherwise determined by the Committee, the closing price of a share of Common Stock on the Applicable Exchange on the date of measurement or determination, or if Shares were not traded on the Applicable Exchange on such date, then on the next preceding date on which Shares were traded, all as reported by such source as the Committee may select. If the Common Stock is not listed on a national securities exchange, Fair Market Value shall be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2" w:right="339" w:bottom="1440" w:gutter="0" w:footer="0" w:header="0"/>
        </w:sectPr>
      </w:pPr>
    </w:p>
    <w:bookmarkStart w:id="8" w:name="page9"/>
    <w:bookmarkEnd w:id="8"/>
    <w:p>
      <w:pPr>
        <w:ind w:right="960"/>
        <w:spacing w:after="0" w:line="304" w:lineRule="auto"/>
        <w:rPr>
          <w:sz w:val="20"/>
          <w:szCs w:val="20"/>
          <w:color w:val="auto"/>
        </w:rPr>
      </w:pPr>
      <w:r>
        <w:rPr>
          <w:rFonts w:ascii="Times New Roman" w:cs="Times New Roman" w:eastAsia="Times New Roman" w:hAnsi="Times New Roman"/>
          <w:sz w:val="20"/>
          <w:szCs w:val="20"/>
          <w:color w:val="auto"/>
        </w:rPr>
        <w:t>Committee in its good faith discretion; provided that such determination shall be made in a manner consistent with any applicable requirements of Section 409A of the Code.</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“Free-Standing SAR” has the meaning set forth in Section 5(b).</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“Good Reason” has the meaning set forth in Section 10(c).</w:t>
      </w:r>
    </w:p>
    <w:p>
      <w:pPr>
        <w:spacing w:after="0" w:line="184" w:lineRule="exact"/>
        <w:rPr>
          <w:sz w:val="20"/>
          <w:szCs w:val="20"/>
          <w:color w:val="auto"/>
        </w:rPr>
      </w:pPr>
    </w:p>
    <w:p>
      <w:pPr>
        <w:ind w:right="20" w:firstLine="641"/>
        <w:spacing w:after="0" w:line="278" w:lineRule="auto"/>
        <w:rPr>
          <w:sz w:val="20"/>
          <w:szCs w:val="20"/>
          <w:color w:val="auto"/>
        </w:rPr>
      </w:pPr>
      <w:r>
        <w:rPr>
          <w:rFonts w:ascii="Times New Roman" w:cs="Times New Roman" w:eastAsia="Times New Roman" w:hAnsi="Times New Roman"/>
          <w:sz w:val="20"/>
          <w:szCs w:val="20"/>
          <w:color w:val="auto"/>
        </w:rPr>
        <w:t>“Grant Date” means (a) the date on which the Committee by resolution selects an Eligible Individual to receive a grant of an Award and determines the number of Shares to be subject to such Award or the formula for earning a number of shares or cash amount, (b) such later date as the Committee shall provide in such resolution, or (c) the date on which a Prior Plan Award or assumed or converted Award was granted.</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“IAC” means IAC/InterActiveCorp, a Delaware corporation, or any successor thereto.</w:t>
      </w:r>
    </w:p>
    <w:p>
      <w:pPr>
        <w:spacing w:after="0" w:line="171" w:lineRule="exact"/>
        <w:rPr>
          <w:sz w:val="20"/>
          <w:szCs w:val="20"/>
          <w:color w:val="auto"/>
        </w:rPr>
      </w:pPr>
    </w:p>
    <w:p>
      <w:pPr>
        <w:ind w:right="400" w:firstLine="641"/>
        <w:spacing w:after="0" w:line="304" w:lineRule="auto"/>
        <w:rPr>
          <w:sz w:val="20"/>
          <w:szCs w:val="20"/>
          <w:color w:val="auto"/>
        </w:rPr>
      </w:pPr>
      <w:r>
        <w:rPr>
          <w:rFonts w:ascii="Times New Roman" w:cs="Times New Roman" w:eastAsia="Times New Roman" w:hAnsi="Times New Roman"/>
          <w:sz w:val="20"/>
          <w:szCs w:val="20"/>
          <w:color w:val="auto"/>
        </w:rPr>
        <w:t>“Incentive Stock Option” means any Option that is designated in the applicable Award Agreement as an “incentive stock option” within the meaning of Section 422 of the Code, and that in fact so qualifies.</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“Incumbent Board” has the meaning set forth in Section 10(a)(ii).</w:t>
      </w:r>
    </w:p>
    <w:p>
      <w:pPr>
        <w:spacing w:after="0" w:line="171" w:lineRule="exact"/>
        <w:rPr>
          <w:sz w:val="20"/>
          <w:szCs w:val="20"/>
          <w:color w:val="auto"/>
        </w:rPr>
      </w:pPr>
    </w:p>
    <w:p>
      <w:pPr>
        <w:ind w:firstLine="641"/>
        <w:spacing w:after="0" w:line="304" w:lineRule="auto"/>
        <w:rPr>
          <w:sz w:val="20"/>
          <w:szCs w:val="20"/>
          <w:color w:val="auto"/>
        </w:rPr>
      </w:pPr>
      <w:r>
        <w:rPr>
          <w:rFonts w:ascii="Times New Roman" w:cs="Times New Roman" w:eastAsia="Times New Roman" w:hAnsi="Times New Roman"/>
          <w:sz w:val="20"/>
          <w:szCs w:val="20"/>
          <w:color w:val="auto"/>
        </w:rPr>
        <w:t>“Individual Agreement” means an employment, consulting, or similar agreement between a Participant and the Company or one of its Subsidiaries or Affiliates.</w:t>
      </w:r>
    </w:p>
    <w:p>
      <w:pPr>
        <w:spacing w:after="0" w:line="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“Non-Employee Director” means a member of the Board who is not an employee of the Company or any of its Affiliates.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“Nonqualified Option” means any Option that is not an Incentive Stock Option.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“Option” means an Award described under Section 5.</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“Other Stock-Based Award” means an Award described in Section 8.</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“Outstanding Company Voting Securities” has the meaning set forth in Section 10(a)(i).</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“Participant” means an Eligible Individual to whom an Award is or has been granted.</w:t>
      </w:r>
    </w:p>
    <w:p>
      <w:pPr>
        <w:spacing w:after="0" w:line="171"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20"/>
          <w:szCs w:val="20"/>
          <w:color w:val="auto"/>
        </w:rPr>
        <w:t>“Performance Goals” means the performance goals established by the Committee in connection with the grant of an Award. Such goals shall be based on such metrics or measures as determined by the Committee, which may include, but are not limited to, the following: net earnings; net earnings or operating profit (loss) before one or more of depreciation, amortization, impairment of intangibles, goodwill impairment, non-cash compensation expense, restructuring charges, non-cash write-downs of assets, charges relating to disposal of lines of business, litigation settlement amounts, and/or costs incurred for proposed and completed acquisitions; gross profit; cash generation; unit volume; market share; sales; asset quality; earnings per share; operating income; revenues; return on assets; return on operating assets; return on equity; profits; total stockholder return (measured in terms of stock price appreciation and/or dividend growth); cost saving levels; marketing spending efficiency; core non-interest income; change in working capital; return on capital; and/or stock price, with respect to the Company or any Subsidiary, Affiliate, division, or department of the Company. Such Performance Goals also may be based upon the attaining of specified levels of Company, Subsidiary, Affiliate, or divisional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1412" w:right="439" w:bottom="1440" w:gutter="0" w:footer="0" w:header="0"/>
        </w:sectPr>
      </w:pPr>
    </w:p>
    <w:bookmarkStart w:id="9" w:name="page10"/>
    <w:bookmarkEnd w:id="9"/>
    <w:p>
      <w:pPr>
        <w:ind w:right="220"/>
        <w:spacing w:after="0" w:line="284" w:lineRule="auto"/>
        <w:rPr>
          <w:sz w:val="20"/>
          <w:szCs w:val="20"/>
          <w:color w:val="auto"/>
        </w:rPr>
      </w:pPr>
      <w:r>
        <w:rPr>
          <w:rFonts w:ascii="Times New Roman" w:cs="Times New Roman" w:eastAsia="Times New Roman" w:hAnsi="Times New Roman"/>
          <w:sz w:val="20"/>
          <w:szCs w:val="20"/>
          <w:color w:val="auto"/>
        </w:rPr>
        <w:t>under one or more of the measures described above relative to the performance of other entities, divisions, or subsidiaries. Further, such Performance Goals may be expressed in absolute amounts, on a per share basis (basic or diluted), as a growth rate or change from preceding periods, or as a comparison to the performance of specified companies or other external measures.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“Person” has the meaning set forth in Section 10(a)(i).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“Plan” means this ANGI Inc. 2017 Stock and Annual Incentive Plan, as set forth herein and as amended from time to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“Restricted Stock” means an Award described under Section 6.</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“Restricted Stock Units” means an Award described under Section 7.</w:t>
      </w:r>
    </w:p>
    <w:p>
      <w:pPr>
        <w:spacing w:after="0" w:line="184" w:lineRule="exact"/>
        <w:rPr>
          <w:sz w:val="20"/>
          <w:szCs w:val="20"/>
          <w:color w:val="auto"/>
        </w:rPr>
      </w:pPr>
    </w:p>
    <w:p>
      <w:pPr>
        <w:ind w:right="520" w:firstLine="641"/>
        <w:spacing w:after="0" w:line="290" w:lineRule="auto"/>
        <w:rPr>
          <w:sz w:val="20"/>
          <w:szCs w:val="20"/>
          <w:color w:val="auto"/>
        </w:rPr>
      </w:pPr>
      <w:r>
        <w:rPr>
          <w:rFonts w:ascii="Times New Roman" w:cs="Times New Roman" w:eastAsia="Times New Roman" w:hAnsi="Times New Roman"/>
          <w:sz w:val="20"/>
          <w:szCs w:val="20"/>
          <w:color w:val="auto"/>
        </w:rPr>
        <w:t>“Retirement” means retirement from active employment with the Company, a Subsidiary, or Affiliate at or after the Participant’s attainment of age 65.</w:t>
      </w:r>
    </w:p>
    <w:p>
      <w:pPr>
        <w:spacing w:after="0" w:line="112" w:lineRule="exact"/>
        <w:rPr>
          <w:sz w:val="20"/>
          <w:szCs w:val="20"/>
          <w:color w:val="auto"/>
        </w:rPr>
      </w:pPr>
    </w:p>
    <w:p>
      <w:pPr>
        <w:ind w:right="100" w:firstLine="641"/>
        <w:spacing w:after="0" w:line="290" w:lineRule="auto"/>
        <w:rPr>
          <w:sz w:val="20"/>
          <w:szCs w:val="20"/>
          <w:color w:val="auto"/>
        </w:rPr>
      </w:pPr>
      <w:r>
        <w:rPr>
          <w:rFonts w:ascii="Times New Roman" w:cs="Times New Roman" w:eastAsia="Times New Roman" w:hAnsi="Times New Roman"/>
          <w:sz w:val="20"/>
          <w:szCs w:val="20"/>
          <w:color w:val="auto"/>
        </w:rPr>
        <w:t>“Reverse Stock Split” means the one-for-ten reverse stock split of the shares of outstanding Company capital stock effected on March 24, 2025.</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“RS Restriction Period” has the meaning set forth in Section 6(b)(ii).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“RSU Restriction Period” has the meaning set forth in Section 7(b)(ii).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“Section 16(b)” has the meaning set forth in Section 11.</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“Share” means a share of Common Stock.</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“Share Change” has the meaning set forth in Section 3(c)(ii).</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“Spinoff” means the spinoff of the Company from IAC which was consummated on March 31, 2025.</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“Stock Appreciation Right” has the meaning set forth in Section 5(b).</w:t>
      </w:r>
    </w:p>
    <w:p>
      <w:pPr>
        <w:spacing w:after="0" w:line="184" w:lineRule="exact"/>
        <w:rPr>
          <w:sz w:val="20"/>
          <w:szCs w:val="20"/>
          <w:color w:val="auto"/>
        </w:rPr>
      </w:pPr>
    </w:p>
    <w:p>
      <w:pPr>
        <w:ind w:right="20" w:firstLine="641"/>
        <w:spacing w:after="0" w:line="290" w:lineRule="auto"/>
        <w:rPr>
          <w:sz w:val="20"/>
          <w:szCs w:val="20"/>
          <w:color w:val="auto"/>
        </w:rPr>
      </w:pPr>
      <w:r>
        <w:rPr>
          <w:rFonts w:ascii="Times New Roman" w:cs="Times New Roman" w:eastAsia="Times New Roman" w:hAnsi="Times New Roman"/>
          <w:sz w:val="20"/>
          <w:szCs w:val="20"/>
          <w:color w:val="auto"/>
        </w:rPr>
        <w:t>“Subsidiary” means any corporation, partnership, joint venture, limited liability company, or other entity during any period in which at least a 50% voting or profits interest is owned, directly or indirectly, by the Company or any successor to the Company.</w:t>
      </w:r>
    </w:p>
    <w:p>
      <w:pPr>
        <w:spacing w:after="0" w:line="112" w:lineRule="exact"/>
        <w:rPr>
          <w:sz w:val="20"/>
          <w:szCs w:val="20"/>
          <w:color w:val="auto"/>
        </w:rPr>
      </w:pPr>
    </w:p>
    <w:p>
      <w:pPr>
        <w:ind w:firstLine="641"/>
        <w:spacing w:after="0" w:line="322" w:lineRule="auto"/>
        <w:rPr>
          <w:sz w:val="20"/>
          <w:szCs w:val="20"/>
          <w:color w:val="auto"/>
        </w:rPr>
      </w:pPr>
      <w:r>
        <w:rPr>
          <w:rFonts w:ascii="Times New Roman" w:cs="Times New Roman" w:eastAsia="Times New Roman" w:hAnsi="Times New Roman"/>
          <w:sz w:val="18"/>
          <w:szCs w:val="18"/>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“Tandem SAR” has the meaning set forth in Section 5(b).</w:t>
      </w:r>
    </w:p>
    <w:p>
      <w:pPr>
        <w:spacing w:after="0" w:line="171" w:lineRule="exact"/>
        <w:rPr>
          <w:sz w:val="20"/>
          <w:szCs w:val="20"/>
          <w:color w:val="auto"/>
        </w:rPr>
      </w:pPr>
    </w:p>
    <w:p>
      <w:pPr>
        <w:ind w:right="240" w:firstLine="641"/>
        <w:spacing w:after="0" w:line="304" w:lineRule="auto"/>
        <w:rPr>
          <w:sz w:val="20"/>
          <w:szCs w:val="20"/>
          <w:color w:val="auto"/>
        </w:rPr>
      </w:pPr>
      <w:r>
        <w:rPr>
          <w:rFonts w:ascii="Times New Roman" w:cs="Times New Roman" w:eastAsia="Times New Roman" w:hAnsi="Times New Roman"/>
          <w:sz w:val="20"/>
          <w:szCs w:val="20"/>
          <w:color w:val="auto"/>
        </w:rPr>
        <w:t>“Term” means the maximum period during which an Option or Stock Appreciation Right may remain outstanding, subject to earlier termination upon Termination of Employment or otherwise, as specified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12" w:right="359" w:bottom="1440" w:gutter="0" w:footer="0" w:header="0"/>
        </w:sectPr>
      </w:pPr>
    </w:p>
    <w:bookmarkStart w:id="10" w:name="page11"/>
    <w:bookmarkEnd w:id="10"/>
    <w:p>
      <w:pPr>
        <w:ind w:firstLine="641"/>
        <w:spacing w:after="0" w:line="310" w:lineRule="auto"/>
        <w:rPr>
          <w:sz w:val="20"/>
          <w:szCs w:val="20"/>
          <w:color w:val="auto"/>
        </w:rPr>
      </w:pPr>
      <w:r>
        <w:rPr>
          <w:rFonts w:ascii="Times New Roman" w:cs="Times New Roman" w:eastAsia="Times New Roman" w:hAnsi="Times New Roman"/>
          <w:sz w:val="18"/>
          <w:szCs w:val="18"/>
          <w:color w:val="auto"/>
        </w:rPr>
        <w:t>“Termination of Employment” means the termination of the applicable Participant’s employment with, or performance of services for, the Company and any of its Subsidiaries. Unless otherwise determined by the Committee, if a Participant’s employment with, or membership on a board of directors of, or other provision of services to, the Company terminates but such Participant continues to provide services to the Company in another capacity, such change in status shall not be deemed a Termination of Employment. A Participant employed by, or performing services for, a Subsidiary or a division of the Company shall be deemed to incur a Termination of Employment if, as a result of a Disaffiliation, such Subsidiary, or division ceases to be a Subsidiary or division, as the case may be, and the Participant does not immediately thereafter become an employee of (or service provider for), or member of the board of directors of, the Company or another Subsidiary. Temporary absences from employment because of illness, vacation, or leave of absence and transfers among the Company and its Subsidiaries shall not be considered Terminations of Employment. Notwithstanding the foregoing, with respect to the timing of settlement or payment of any Award, “Termination of Employment” shall mean a “separation from service” as defined under Section 409A of the Code.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Administration</w:t>
      </w:r>
    </w:p>
    <w:p>
      <w:pPr>
        <w:spacing w:after="0" w:line="175" w:lineRule="exact"/>
        <w:rPr>
          <w:sz w:val="20"/>
          <w:szCs w:val="20"/>
          <w:color w:val="auto"/>
        </w:rPr>
      </w:pPr>
    </w:p>
    <w:p>
      <w:pPr>
        <w:ind w:firstLine="648"/>
        <w:spacing w:after="0" w:line="281" w:lineRule="auto"/>
        <w:tabs>
          <w:tab w:leader="none" w:pos="100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This Plan shall be administered by the Compensation Committee of the Board or such other committee of the Board as the Board may from time to time designate (the “Committee”), which committee shall be composed of not less than two Non-Employee Directors, and shall be appointed by and serve at the pleasure of the Board. The Committee shall have plenary authority to grant Awards pursuant to the terms of this Plan to Eligible Individuals. Among other things, the Committee shall have the authority, subject to the terms of this Plan:</w:t>
      </w:r>
    </w:p>
    <w:p>
      <w:pPr>
        <w:spacing w:after="0" w:line="109" w:lineRule="exact"/>
        <w:rPr>
          <w:rFonts w:ascii="Times New Roman" w:cs="Times New Roman" w:eastAsia="Times New Roman" w:hAnsi="Times New Roman"/>
          <w:sz w:val="20"/>
          <w:szCs w:val="20"/>
          <w:color w:val="auto"/>
        </w:rPr>
      </w:pPr>
    </w:p>
    <w:p>
      <w:pPr>
        <w:ind w:left="1620" w:hanging="331"/>
        <w:spacing w:after="0"/>
        <w:tabs>
          <w:tab w:leader="none" w:pos="16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select the Eligible Individuals to whom Awards may from time to time be granted;</w:t>
      </w:r>
    </w:p>
    <w:p>
      <w:pPr>
        <w:spacing w:after="0" w:line="184" w:lineRule="exact"/>
        <w:rPr>
          <w:rFonts w:ascii="Times New Roman" w:cs="Times New Roman" w:eastAsia="Times New Roman" w:hAnsi="Times New Roman"/>
          <w:sz w:val="20"/>
          <w:szCs w:val="20"/>
          <w:color w:val="auto"/>
        </w:rPr>
      </w:pPr>
    </w:p>
    <w:p>
      <w:pPr>
        <w:ind w:left="640" w:right="360" w:firstLine="649"/>
        <w:spacing w:after="0" w:line="284" w:lineRule="auto"/>
        <w:tabs>
          <w:tab w:leader="none" w:pos="1667"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whether and to what extent Incentive Stock Options, Nonqualified Options, Stock Appreciation Rights, Restricted Stock, Restricted Stock Units, Other Stock-Based Awards, Cash-Based Awards, or any combination thereof, are to be granted hereunder;</w:t>
      </w:r>
    </w:p>
    <w:p>
      <w:pPr>
        <w:spacing w:after="0" w:line="105" w:lineRule="exact"/>
        <w:rPr>
          <w:rFonts w:ascii="Times New Roman" w:cs="Times New Roman" w:eastAsia="Times New Roman" w:hAnsi="Times New Roman"/>
          <w:sz w:val="20"/>
          <w:szCs w:val="20"/>
          <w:color w:val="auto"/>
        </w:rPr>
      </w:pPr>
    </w:p>
    <w:p>
      <w:pPr>
        <w:ind w:left="1720" w:hanging="431"/>
        <w:spacing w:after="0"/>
        <w:tabs>
          <w:tab w:leader="none" w:pos="17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number of Shares to be covered by each Award granted hereunder or the amount of any Cash-Based</w:t>
      </w:r>
    </w:p>
    <w:p>
      <w:pPr>
        <w:spacing w:after="0" w:line="3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w:t>
      </w:r>
    </w:p>
    <w:p>
      <w:pPr>
        <w:spacing w:after="0" w:line="170" w:lineRule="exact"/>
        <w:rPr>
          <w:rFonts w:ascii="Times New Roman" w:cs="Times New Roman" w:eastAsia="Times New Roman" w:hAnsi="Times New Roman"/>
          <w:sz w:val="20"/>
          <w:szCs w:val="20"/>
          <w:color w:val="auto"/>
        </w:rPr>
      </w:pPr>
    </w:p>
    <w:p>
      <w:pPr>
        <w:ind w:left="1720" w:hanging="431"/>
        <w:spacing w:after="0"/>
        <w:tabs>
          <w:tab w:leader="none" w:pos="17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the terms and conditions of each Award granted hereunder, based on such factors as the Committee shall</w:t>
      </w:r>
    </w:p>
    <w:p>
      <w:pPr>
        <w:spacing w:after="0" w:line="3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w:t>
      </w:r>
    </w:p>
    <w:p>
      <w:pPr>
        <w:spacing w:after="0" w:line="170" w:lineRule="exact"/>
        <w:rPr>
          <w:rFonts w:ascii="Times New Roman" w:cs="Times New Roman" w:eastAsia="Times New Roman" w:hAnsi="Times New Roman"/>
          <w:sz w:val="20"/>
          <w:szCs w:val="20"/>
          <w:color w:val="auto"/>
        </w:rPr>
      </w:pPr>
    </w:p>
    <w:p>
      <w:pPr>
        <w:ind w:left="1660" w:hanging="371"/>
        <w:spacing w:after="0"/>
        <w:tabs>
          <w:tab w:leader="none" w:pos="166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12, to modify, amend, or adjust the terms and conditions of any Award, at any time or from time to</w:t>
      </w:r>
    </w:p>
    <w:p>
      <w:pPr>
        <w:spacing w:after="0" w:line="3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w:t>
      </w:r>
    </w:p>
    <w:p>
      <w:pPr>
        <w:spacing w:after="0" w:line="170" w:lineRule="exact"/>
        <w:rPr>
          <w:rFonts w:ascii="Times New Roman" w:cs="Times New Roman" w:eastAsia="Times New Roman" w:hAnsi="Times New Roman"/>
          <w:sz w:val="20"/>
          <w:szCs w:val="20"/>
          <w:color w:val="auto"/>
        </w:rPr>
      </w:pPr>
    </w:p>
    <w:p>
      <w:pPr>
        <w:ind w:left="640" w:right="40" w:firstLine="649"/>
        <w:spacing w:after="0" w:line="304" w:lineRule="auto"/>
        <w:tabs>
          <w:tab w:leader="none" w:pos="1711"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adopt, alter, and repeal such administrative rules, guidelines, and practices governing this Plan as it shall from time to time deem advisable;</w:t>
      </w:r>
    </w:p>
    <w:p>
      <w:pPr>
        <w:spacing w:after="0" w:line="85" w:lineRule="exact"/>
        <w:rPr>
          <w:rFonts w:ascii="Times New Roman" w:cs="Times New Roman" w:eastAsia="Times New Roman" w:hAnsi="Times New Roman"/>
          <w:sz w:val="20"/>
          <w:szCs w:val="20"/>
          <w:color w:val="auto"/>
        </w:rPr>
      </w:pPr>
    </w:p>
    <w:p>
      <w:pPr>
        <w:ind w:left="640" w:right="60" w:firstLine="649"/>
        <w:spacing w:after="0" w:line="290" w:lineRule="auto"/>
        <w:tabs>
          <w:tab w:leader="none" w:pos="1765"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accelerate the vesting or lapse of restrictions of any outstanding Award, based in each case on such considerations as the Committee in its sole discretion determines;</w:t>
      </w:r>
    </w:p>
    <w:p>
      <w:pPr>
        <w:spacing w:after="0" w:line="112" w:lineRule="exact"/>
        <w:rPr>
          <w:rFonts w:ascii="Times New Roman" w:cs="Times New Roman" w:eastAsia="Times New Roman" w:hAnsi="Times New Roman"/>
          <w:sz w:val="20"/>
          <w:szCs w:val="20"/>
          <w:color w:val="auto"/>
        </w:rPr>
      </w:pPr>
    </w:p>
    <w:p>
      <w:pPr>
        <w:ind w:left="640" w:right="460" w:firstLine="649"/>
        <w:spacing w:after="0" w:line="290" w:lineRule="auto"/>
        <w:tabs>
          <w:tab w:leader="none" w:pos="182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interpret the terms and provisions of this Plan and any Award issued under this Plan or any Prior Plan (and any agreement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320" w:top="1412" w:right="419" w:bottom="1440" w:gutter="0" w:footer="0" w:header="0"/>
        </w:sectPr>
      </w:pPr>
    </w:p>
    <w:bookmarkStart w:id="11" w:name="page12"/>
    <w:bookmarkEnd w:id="11"/>
    <w:p>
      <w:pPr>
        <w:ind w:left="1700" w:hanging="431"/>
        <w:spacing w:after="0"/>
        <w:tabs>
          <w:tab w:leader="none" w:pos="17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establish any “blackout” period that the Committee in its sole discretion deems necessary or advisable;</w:t>
      </w:r>
    </w:p>
    <w:p>
      <w:pPr>
        <w:spacing w:after="0" w:line="170" w:lineRule="exact"/>
        <w:rPr>
          <w:rFonts w:ascii="Times New Roman" w:cs="Times New Roman" w:eastAsia="Times New Roman" w:hAnsi="Times New Roman"/>
          <w:sz w:val="20"/>
          <w:szCs w:val="20"/>
          <w:color w:val="auto"/>
        </w:rPr>
      </w:pPr>
    </w:p>
    <w:p>
      <w:pPr>
        <w:ind w:left="1640" w:hanging="371"/>
        <w:spacing w:after="0"/>
        <w:tabs>
          <w:tab w:leader="none" w:pos="164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decide all other matters that must be determined in connection with an Award; and</w:t>
      </w:r>
    </w:p>
    <w:p>
      <w:pPr>
        <w:spacing w:after="0" w:line="184" w:lineRule="exact"/>
        <w:rPr>
          <w:rFonts w:ascii="Times New Roman" w:cs="Times New Roman" w:eastAsia="Times New Roman" w:hAnsi="Times New Roman"/>
          <w:sz w:val="20"/>
          <w:szCs w:val="20"/>
          <w:color w:val="auto"/>
        </w:rPr>
      </w:pPr>
    </w:p>
    <w:p>
      <w:pPr>
        <w:ind w:left="1700" w:hanging="431"/>
        <w:spacing w:after="0"/>
        <w:tabs>
          <w:tab w:leader="none" w:pos="170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otherwise administer this Plan.</w:t>
      </w:r>
    </w:p>
    <w:p>
      <w:pPr>
        <w:spacing w:after="0" w:line="170" w:lineRule="exact"/>
        <w:rPr>
          <w:rFonts w:ascii="Times New Roman" w:cs="Times New Roman" w:eastAsia="Times New Roman" w:hAnsi="Times New Roman"/>
          <w:sz w:val="20"/>
          <w:szCs w:val="20"/>
          <w:color w:val="auto"/>
        </w:rPr>
      </w:pPr>
    </w:p>
    <w:p>
      <w:pPr>
        <w:ind w:left="1000" w:hanging="372"/>
        <w:spacing w:after="0"/>
        <w:tabs>
          <w:tab w:leader="none" w:pos="10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Procedures.</w:t>
      </w:r>
    </w:p>
    <w:p>
      <w:pPr>
        <w:spacing w:after="0" w:line="170" w:lineRule="exact"/>
        <w:rPr>
          <w:rFonts w:ascii="Times New Roman" w:cs="Times New Roman" w:eastAsia="Times New Roman" w:hAnsi="Times New Roman"/>
          <w:sz w:val="20"/>
          <w:szCs w:val="20"/>
          <w:color w:val="auto"/>
        </w:rPr>
      </w:pPr>
    </w:p>
    <w:p>
      <w:pPr>
        <w:jc w:val="both"/>
        <w:ind w:left="620" w:right="60" w:firstLine="649"/>
        <w:spacing w:after="0" w:line="282" w:lineRule="auto"/>
        <w:tabs>
          <w:tab w:leader="none" w:pos="1589"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w:t>
      </w:r>
    </w:p>
    <w:p>
      <w:pPr>
        <w:spacing w:after="0" w:line="107" w:lineRule="exact"/>
        <w:rPr>
          <w:rFonts w:ascii="Times New Roman" w:cs="Times New Roman" w:eastAsia="Times New Roman" w:hAnsi="Times New Roman"/>
          <w:sz w:val="20"/>
          <w:szCs w:val="20"/>
          <w:color w:val="auto"/>
        </w:rPr>
      </w:pPr>
    </w:p>
    <w:p>
      <w:pPr>
        <w:ind w:left="620" w:right="80" w:firstLine="649"/>
        <w:spacing w:after="0" w:line="304" w:lineRule="auto"/>
        <w:tabs>
          <w:tab w:leader="none" w:pos="1647"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11, any authority granted to the Committee may also be exercised by the full Board. To the extent that any permitted action taken by the Board conflicts with action taken by the Committee, the Board action shall control.</w:t>
      </w:r>
    </w:p>
    <w:p>
      <w:pPr>
        <w:spacing w:after="0" w:line="85" w:lineRule="exact"/>
        <w:rPr>
          <w:rFonts w:ascii="Times New Roman" w:cs="Times New Roman" w:eastAsia="Times New Roman" w:hAnsi="Times New Roman"/>
          <w:sz w:val="20"/>
          <w:szCs w:val="20"/>
          <w:color w:val="auto"/>
        </w:rPr>
      </w:pPr>
    </w:p>
    <w:p>
      <w:pPr>
        <w:ind w:left="-20" w:right="20" w:firstLine="648"/>
        <w:spacing w:after="0" w:line="319" w:lineRule="auto"/>
        <w:tabs>
          <w:tab w:leader="none" w:pos="9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of Committee. Subject to the last sentence of the definition of “Cause,” (i) any determination made by the Committee or by an appropriately delegated individual pursuant to delegated authority under the provisions of this Plan with respect to any Award shall be made in the sole discretion of the Committee or such delegate at the time of the grant of the Award or, unless in contravention of any express term of this Plan, at any time thereafter; and (ii) all decisions made by the Committee or any appropriate delegate pursuant to the provisions of this Plan shall be final and binding on all persons, including the Company, Participants, and Eligible Individuals.</w:t>
      </w:r>
    </w:p>
    <w:p>
      <w:pPr>
        <w:spacing w:after="0" w:line="80" w:lineRule="exact"/>
        <w:rPr>
          <w:rFonts w:ascii="Times New Roman" w:cs="Times New Roman" w:eastAsia="Times New Roman" w:hAnsi="Times New Roman"/>
          <w:sz w:val="18"/>
          <w:szCs w:val="18"/>
          <w:color w:val="auto"/>
        </w:rPr>
      </w:pPr>
    </w:p>
    <w:p>
      <w:pPr>
        <w:ind w:left="-20" w:firstLine="648"/>
        <w:spacing w:after="0" w:line="281" w:lineRule="auto"/>
        <w:tabs>
          <w:tab w:leader="none" w:pos="98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Agreements. The terms and conditions of each Award (other than any Cash-Based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12.</w:t>
      </w:r>
    </w:p>
    <w:p>
      <w:pPr>
        <w:spacing w:after="0" w:line="109" w:lineRule="exact"/>
        <w:rPr>
          <w:rFonts w:ascii="Times New Roman" w:cs="Times New Roman" w:eastAsia="Times New Roman" w:hAnsi="Times New Roman"/>
          <w:sz w:val="20"/>
          <w:szCs w:val="20"/>
          <w:color w:val="auto"/>
        </w:rPr>
      </w:pPr>
    </w:p>
    <w:p>
      <w:pPr>
        <w:ind w:left="-20" w:right="100" w:firstLine="568"/>
        <w:spacing w:after="0" w:line="313" w:lineRule="auto"/>
        <w:tabs>
          <w:tab w:leader="none" w:pos="8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Each Award Agreement shall set forth the period until the applicable Award is scheduled to vest and, consistent with the requirements of this Section 2(e), the applicable vesting conditions and any applicable performance period. All Awards shall be subject to a vesting period of not less than one year from the applicable Grant Date (during which no portion of the Award may be scheduled to vest). The foregoing minimum vesting period will not, however, apply in connection with: (i) a Change in Control as provided in Section 10, (ii) a Termination of Employment due to death or Disability, (iii) Awards made in payment of or exchange for other compensation already earned and payable, (iv) a Substitute Award that does not reduce the vesting period of the award being replaced, and (v) outstanding, exercised and settled Awards involving an aggregate number of Shares not in excess of 5% of the maximum number of Shares specified in Section 3(a). For purposes of Awards to Non-Employee Directors, a vesting period will be deemed to be one year if it runs from the date of one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40" w:top="1412" w:right="359" w:bottom="1440" w:gutter="0" w:footer="0" w:header="0"/>
        </w:sectPr>
      </w:pPr>
    </w:p>
    <w:bookmarkStart w:id="12" w:name="page13"/>
    <w:bookmarkEnd w:id="12"/>
    <w:p>
      <w:pPr>
        <w:ind w:right="160"/>
        <w:spacing w:after="0" w:line="304" w:lineRule="auto"/>
        <w:rPr>
          <w:sz w:val="20"/>
          <w:szCs w:val="20"/>
          <w:color w:val="auto"/>
        </w:rPr>
      </w:pPr>
      <w:r>
        <w:rPr>
          <w:rFonts w:ascii="Times New Roman" w:cs="Times New Roman" w:eastAsia="Times New Roman" w:hAnsi="Times New Roman"/>
          <w:sz w:val="20"/>
          <w:szCs w:val="20"/>
          <w:color w:val="auto"/>
        </w:rPr>
        <w:t>meeting of the Company’s stockholders to the date of the next annual meeting of the Company’s stockholders, provided that such period lasts at least fifty (50) weeks.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Common Stock Subject to Plan</w:t>
      </w:r>
    </w:p>
    <w:p>
      <w:pPr>
        <w:spacing w:after="0" w:line="175" w:lineRule="exact"/>
        <w:rPr>
          <w:sz w:val="20"/>
          <w:szCs w:val="20"/>
          <w:color w:val="auto"/>
        </w:rPr>
      </w:pPr>
    </w:p>
    <w:p>
      <w:pPr>
        <w:ind w:left="1020" w:hanging="37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Maximums.  The maximum number of Shares that may be delivered pursuant to Awards under this Plan shall be 12,400,000</w:t>
      </w:r>
    </w:p>
    <w:p>
      <w:pPr>
        <w:spacing w:after="0" w:line="86" w:lineRule="exact"/>
        <w:rPr>
          <w:rFonts w:ascii="Times New Roman" w:cs="Times New Roman" w:eastAsia="Times New Roman" w:hAnsi="Times New Roman"/>
          <w:sz w:val="18"/>
          <w:szCs w:val="18"/>
          <w:color w:val="auto"/>
        </w:rPr>
      </w:pPr>
    </w:p>
    <w:p>
      <w:pPr>
        <w:ind w:right="1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Shares, consisting of 7,500,000 Shares (as adjusted for the Reverse Stock Split) originally authorized, plus 2,500,000 Shares (as adjusted for the Reverse Stock Split) effective on the 2024 Restatement Effective Date, plus an additional 2,400,000 Shares effective on the 2026 Restatement Effective Date. The maximum number of Shares that may be granted pursuant to Options intended to be Incentive Stock Options shall be the same number of Shares as set forth in the first sentence of this Section 3(a). Shares subject to an Award under this Plan may be authorized and unissued Shares or may be treasury Shares.</w:t>
      </w:r>
    </w:p>
    <w:p>
      <w:pPr>
        <w:spacing w:after="0" w:line="124" w:lineRule="exact"/>
        <w:rPr>
          <w:rFonts w:ascii="Times New Roman" w:cs="Times New Roman" w:eastAsia="Times New Roman" w:hAnsi="Times New Roman"/>
          <w:sz w:val="18"/>
          <w:szCs w:val="18"/>
          <w:color w:val="auto"/>
        </w:rPr>
      </w:pPr>
    </w:p>
    <w:p>
      <w:pPr>
        <w:ind w:left="1020" w:hanging="372"/>
        <w:spacing w:after="0"/>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for Calculating Shares Delivered.</w:t>
      </w:r>
    </w:p>
    <w:p>
      <w:pPr>
        <w:spacing w:after="0" w:line="170" w:lineRule="exact"/>
        <w:rPr>
          <w:rFonts w:ascii="Times New Roman" w:cs="Times New Roman" w:eastAsia="Times New Roman" w:hAnsi="Times New Roman"/>
          <w:sz w:val="20"/>
          <w:szCs w:val="20"/>
          <w:color w:val="auto"/>
        </w:rPr>
      </w:pPr>
    </w:p>
    <w:p>
      <w:pPr>
        <w:ind w:left="640" w:firstLine="649"/>
        <w:spacing w:after="0" w:line="304" w:lineRule="auto"/>
        <w:tabs>
          <w:tab w:leader="none" w:pos="160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Award is forfeited, terminates, expires, or lapses without being exercised, or any Award is settled for cash, the Shares subject to such Award not delivered as a result thereof shall again be available for Awards under this Plan.</w:t>
      </w:r>
    </w:p>
    <w:p>
      <w:pPr>
        <w:spacing w:after="0" w:line="85" w:lineRule="exact"/>
        <w:rPr>
          <w:rFonts w:ascii="Times New Roman" w:cs="Times New Roman" w:eastAsia="Times New Roman" w:hAnsi="Times New Roman"/>
          <w:sz w:val="20"/>
          <w:szCs w:val="20"/>
          <w:color w:val="auto"/>
        </w:rPr>
      </w:pPr>
    </w:p>
    <w:p>
      <w:pPr>
        <w:ind w:left="640" w:right="160" w:firstLine="649"/>
        <w:spacing w:after="0" w:line="284" w:lineRule="auto"/>
        <w:tabs>
          <w:tab w:leader="none" w:pos="1667"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tax withholding obligations relating to any Award (other than an Option or Stock Appreciation Right) are satisfied by delivering Shares to the Company (by either actual delivery or by attestation), only the number of Shares issued net of the Shares delivered or attested to shall be deemed delivered for purposes of the limits set forth in Section 3(a).</w:t>
      </w:r>
    </w:p>
    <w:p>
      <w:pPr>
        <w:spacing w:after="0" w:line="118" w:lineRule="exact"/>
        <w:rPr>
          <w:rFonts w:ascii="Times New Roman" w:cs="Times New Roman" w:eastAsia="Times New Roman" w:hAnsi="Times New Roman"/>
          <w:sz w:val="20"/>
          <w:szCs w:val="20"/>
          <w:color w:val="auto"/>
        </w:rPr>
      </w:pPr>
    </w:p>
    <w:p>
      <w:pPr>
        <w:ind w:left="640" w:right="40" w:firstLine="649"/>
        <w:spacing w:after="0" w:line="284" w:lineRule="auto"/>
        <w:tabs>
          <w:tab w:leader="none" w:pos="1718"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Shares subject to an Award are withheld to satisfy the tax withholding obligations relating to any Award (other than an Option or Stock Appreciation Right), such Shares shall not be deemed to have been delivered for purposes of the limits set forth in Section 3(a).</w:t>
      </w:r>
    </w:p>
    <w:p>
      <w:pPr>
        <w:spacing w:after="0" w:line="105" w:lineRule="exact"/>
        <w:rPr>
          <w:rFonts w:ascii="Times New Roman" w:cs="Times New Roman" w:eastAsia="Times New Roman" w:hAnsi="Times New Roman"/>
          <w:sz w:val="20"/>
          <w:szCs w:val="20"/>
          <w:color w:val="auto"/>
        </w:rPr>
      </w:pPr>
    </w:p>
    <w:p>
      <w:pPr>
        <w:ind w:left="640" w:right="40" w:firstLine="649"/>
        <w:spacing w:after="0" w:line="278" w:lineRule="auto"/>
        <w:tabs>
          <w:tab w:leader="none" w:pos="161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following Shares shall be deemed to have been delivered for purposes of the limits set forth in Section 3(a): (A) Shares delivered (either actually or by attestation) by the Participant or withheld by the Company in payment of the exercise price of an Option or Stock Appreciation Right, (B) Shares delivered (either actually or by attestation) by the Participant or withheld by the Company to satisfy any tax withholding obligation with respect to an Option or Stock Appreciation Right, (C) Shares repurchased by the Company with proceeds received from the exercise of an Option or Stock Appreciation Right, and (D) Shares subject to a Stock Appreciation Right that are not issued in connection with the stock settlement of that award upon its exercise.</w:t>
      </w:r>
    </w:p>
    <w:p>
      <w:pPr>
        <w:spacing w:after="0" w:line="112" w:lineRule="exact"/>
        <w:rPr>
          <w:rFonts w:ascii="Times New Roman" w:cs="Times New Roman" w:eastAsia="Times New Roman" w:hAnsi="Times New Roman"/>
          <w:sz w:val="20"/>
          <w:szCs w:val="20"/>
          <w:color w:val="auto"/>
        </w:rPr>
      </w:pPr>
    </w:p>
    <w:p>
      <w:pPr>
        <w:ind w:left="1000" w:hanging="352"/>
        <w:spacing w:after="0"/>
        <w:tabs>
          <w:tab w:leader="none" w:pos="10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Provisions.</w:t>
      </w:r>
    </w:p>
    <w:p>
      <w:pPr>
        <w:spacing w:after="0" w:line="184" w:lineRule="exact"/>
        <w:rPr>
          <w:rFonts w:ascii="Times New Roman" w:cs="Times New Roman" w:eastAsia="Times New Roman" w:hAnsi="Times New Roman"/>
          <w:sz w:val="20"/>
          <w:szCs w:val="20"/>
          <w:color w:val="auto"/>
        </w:rPr>
      </w:pPr>
    </w:p>
    <w:p>
      <w:pPr>
        <w:ind w:left="640" w:right="100" w:firstLine="649"/>
        <w:spacing w:after="0" w:line="278" w:lineRule="auto"/>
        <w:tabs>
          <w:tab w:leader="none" w:pos="1613"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“Corporate Transaction”), the Committee or the Board may in its discretion make such substitutions or adjustments as it deems appropriate and equitable to (A) the aggregate number and kind of Shares or other securities reserved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2" w:right="339" w:bottom="1440" w:gutter="0" w:footer="0" w:header="0"/>
        </w:sectPr>
      </w:pPr>
    </w:p>
    <w:bookmarkStart w:id="13" w:name="page14"/>
    <w:bookmarkEnd w:id="13"/>
    <w:p>
      <w:pPr>
        <w:ind w:right="120"/>
        <w:spacing w:after="0" w:line="284" w:lineRule="auto"/>
        <w:rPr>
          <w:sz w:val="20"/>
          <w:szCs w:val="20"/>
          <w:color w:val="auto"/>
        </w:rPr>
      </w:pPr>
      <w:r>
        <w:rPr>
          <w:rFonts w:ascii="Times New Roman" w:cs="Times New Roman" w:eastAsia="Times New Roman" w:hAnsi="Times New Roman"/>
          <w:sz w:val="20"/>
          <w:szCs w:val="20"/>
          <w:color w:val="auto"/>
        </w:rPr>
        <w:t>and delivery under this Plan, (B) the maximum limitations set forth in Section 3(a) upon certain types of Awards, (C) the number and kind of Shares or other securities subject to outstanding Awards, and (D) the exercise price of outstanding Options and Stock Appreciation Rights.</w:t>
      </w:r>
    </w:p>
    <w:p>
      <w:pPr>
        <w:spacing w:after="0" w:line="119" w:lineRule="exact"/>
        <w:rPr>
          <w:sz w:val="20"/>
          <w:szCs w:val="20"/>
          <w:color w:val="auto"/>
        </w:rPr>
      </w:pPr>
    </w:p>
    <w:p>
      <w:pPr>
        <w:ind w:right="80" w:firstLine="649"/>
        <w:spacing w:after="0" w:line="276" w:lineRule="auto"/>
        <w:tabs>
          <w:tab w:leader="none" w:pos="102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(each, a “Share Change”), the Committee or the Board shall make such substitutions or adjustments as it deems appropriate and equitable to (A) the aggregate number and kind of Shares or other securities reserved for issuance and delivery under this Plan, (B) the maximum limitations set forth in Section 3(a) upon certain types of Awards, (C) the number and kind of Shares or other securities subject to outstanding Awards, and (D) the exercise price of outstanding Options and Stock Appreciation Rights.</w:t>
      </w:r>
    </w:p>
    <w:p>
      <w:pPr>
        <w:spacing w:after="0" w:line="125" w:lineRule="exact"/>
        <w:rPr>
          <w:rFonts w:ascii="Times New Roman" w:cs="Times New Roman" w:eastAsia="Times New Roman" w:hAnsi="Times New Roman"/>
          <w:sz w:val="20"/>
          <w:szCs w:val="20"/>
          <w:color w:val="auto"/>
        </w:rPr>
      </w:pPr>
    </w:p>
    <w:p>
      <w:pPr>
        <w:ind w:firstLine="649"/>
        <w:spacing w:after="0" w:line="308" w:lineRule="auto"/>
        <w:tabs>
          <w:tab w:leader="none" w:pos="10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Corporate Transactions, the adjustments contemplated by clause (i) of this Section 3(c) may include, without limitation,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(B) the substitution of other property (including, without limitation, cash or other securities of the Company and securities of entities other than the Company) for the Shares subject to outstanding Awards; and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365" w:lineRule="exact"/>
        <w:rPr>
          <w:rFonts w:ascii="Times New Roman" w:cs="Times New Roman" w:eastAsia="Times New Roman" w:hAnsi="Times New Roman"/>
          <w:sz w:val="18"/>
          <w:szCs w:val="18"/>
          <w:color w:val="auto"/>
        </w:rPr>
      </w:pPr>
    </w:p>
    <w:p>
      <w:pPr>
        <w:ind w:right="80" w:firstLine="649"/>
        <w:spacing w:after="0" w:line="315" w:lineRule="auto"/>
        <w:tabs>
          <w:tab w:leader="none" w:pos="10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adjust the Performance Goals applicable to any Awards to reflect any Share Change and any Corporate Transaction and for any other reason in its discretion, including without limitation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the Company’s other filings with the Commission.</w:t>
      </w:r>
    </w:p>
    <w:p>
      <w:pPr>
        <w:spacing w:after="0" w:line="97" w:lineRule="exact"/>
        <w:rPr>
          <w:rFonts w:ascii="Times New Roman" w:cs="Times New Roman" w:eastAsia="Times New Roman" w:hAnsi="Times New Roman"/>
          <w:sz w:val="18"/>
          <w:szCs w:val="18"/>
          <w:color w:val="auto"/>
        </w:rPr>
      </w:pPr>
    </w:p>
    <w:p>
      <w:pPr>
        <w:ind w:right="20" w:firstLine="649"/>
        <w:spacing w:after="0" w:line="284" w:lineRule="auto"/>
        <w:tabs>
          <w:tab w:leader="none" w:pos="100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adjustment under this Section 3(c) need not be the same for all Participants. No adjustment may be made pursuant to this Section 3(c) in a manner that would cause Incentive Stock Options to violate Section 422(b) of the Code or cause an Award to be subject to adverse tax consequences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60"/>
          </w:cols>
          <w:pgMar w:left="960" w:top="1412" w:right="379" w:bottom="1440" w:gutter="0" w:footer="0" w:header="0"/>
        </w:sectPr>
      </w:pPr>
    </w:p>
    <w:bookmarkStart w:id="14" w:name="page15"/>
    <w:bookmarkEnd w:id="14"/>
    <w:p>
      <w:pPr>
        <w:ind w:right="60" w:firstLine="648"/>
        <w:spacing w:after="0" w:line="276" w:lineRule="auto"/>
        <w:tabs>
          <w:tab w:leader="none" w:pos="106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Plans Operated by Acquired Companies. 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maximum number of Shares set forth under Section 3(a). Awards using such available shares shall not be made after the date awards or grants could have been made under the terms of the pre-existing plan absent the acquisition or combination, and shall only be made to individuals who were not service providers to the Company and its Subsidiaries prior to such acquisition or combination.</w:t>
      </w:r>
    </w:p>
    <w:p>
      <w:pPr>
        <w:spacing w:after="0" w:line="117" w:lineRule="exact"/>
        <w:rPr>
          <w:rFonts w:ascii="Times New Roman" w:cs="Times New Roman" w:eastAsia="Times New Roman" w:hAnsi="Times New Roman"/>
          <w:sz w:val="20"/>
          <w:szCs w:val="20"/>
          <w:color w:val="auto"/>
        </w:rPr>
      </w:pPr>
    </w:p>
    <w:p>
      <w:pPr>
        <w:jc w:val="both"/>
        <w:ind w:right="80" w:firstLine="648"/>
        <w:spacing w:after="0" w:line="282" w:lineRule="auto"/>
        <w:tabs>
          <w:tab w:leader="none" w:pos="9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on Non-Employee Director Compensation. Notwithstanding any other provision of this Plan to the contrary, the sum of the grant date fair value (determined as of the grant date in accordance with applicable financial accounting rules) of all Awards granted, plus the amount of all cash fees or retainers paid as compensation for services as a Non-Employee Director, to any Non-Employee Director during any calendar year shall not exceed $1,500,000.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4.  Eligibility</w:t>
      </w:r>
    </w:p>
    <w:p>
      <w:pPr>
        <w:spacing w:after="0" w:line="175" w:lineRule="exact"/>
        <w:rPr>
          <w:sz w:val="20"/>
          <w:szCs w:val="20"/>
          <w:color w:val="auto"/>
        </w:rPr>
      </w:pPr>
    </w:p>
    <w:p>
      <w:pPr>
        <w:ind w:right="160" w:firstLine="641"/>
        <w:spacing w:after="0" w:line="304" w:lineRule="auto"/>
        <w:rPr>
          <w:sz w:val="20"/>
          <w:szCs w:val="20"/>
          <w:color w:val="auto"/>
        </w:rPr>
      </w:pPr>
      <w:r>
        <w:rPr>
          <w:rFonts w:ascii="Times New Roman" w:cs="Times New Roman" w:eastAsia="Times New Roman" w:hAnsi="Times New Roman"/>
          <w:sz w:val="20"/>
          <w:szCs w:val="20"/>
          <w:color w:val="auto"/>
        </w:rPr>
        <w:t>Awards may be granted under this Plan to Eligible Individuals; provided, however, that Incentive Stock Options may be granted only to employees of the Company and its subsidiary or parent corporations (within the meaning of Section 424(f) of the Code).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5.  Options and Stock Appreciation Rights</w:t>
      </w:r>
    </w:p>
    <w:p>
      <w:pPr>
        <w:spacing w:after="0" w:line="175" w:lineRule="exact"/>
        <w:rPr>
          <w:sz w:val="20"/>
          <w:szCs w:val="20"/>
          <w:color w:val="auto"/>
        </w:rPr>
      </w:pPr>
    </w:p>
    <w:p>
      <w:pPr>
        <w:ind w:right="280" w:firstLine="641"/>
        <w:spacing w:after="0" w:line="304" w:lineRule="auto"/>
        <w:rPr>
          <w:sz w:val="20"/>
          <w:szCs w:val="20"/>
          <w:color w:val="auto"/>
        </w:rPr>
      </w:pPr>
      <w:r>
        <w:rPr>
          <w:rFonts w:ascii="Times New Roman" w:cs="Times New Roman" w:eastAsia="Times New Roman" w:hAnsi="Times New Roman"/>
          <w:sz w:val="20"/>
          <w:szCs w:val="20"/>
          <w:color w:val="auto"/>
        </w:rPr>
        <w:t>With respect to Prior Plan Awards, the provisions below shall be applicable only to the extent that they are not inconsistent with the terms of the applicable Prior Plan Award.</w:t>
      </w:r>
    </w:p>
    <w:p>
      <w:pPr>
        <w:spacing w:after="0" w:line="85" w:lineRule="exact"/>
        <w:rPr>
          <w:sz w:val="20"/>
          <w:szCs w:val="20"/>
          <w:color w:val="auto"/>
        </w:rPr>
      </w:pPr>
    </w:p>
    <w:p>
      <w:pPr>
        <w:ind w:right="180" w:firstLine="648"/>
        <w:spacing w:after="0" w:line="304" w:lineRule="auto"/>
        <w:tabs>
          <w:tab w:leader="none" w:pos="100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Types of Options. Options may be of two types: Incentive Stock Options and Nonqualified Options. The Award Agreement for an Option shall indicate whether the Option is intended to be an Incentive Stock Option or a Nonqualified Option.</w:t>
      </w:r>
    </w:p>
    <w:p>
      <w:pPr>
        <w:spacing w:after="0" w:line="85" w:lineRule="exact"/>
        <w:rPr>
          <w:rFonts w:ascii="Times New Roman" w:cs="Times New Roman" w:eastAsia="Times New Roman" w:hAnsi="Times New Roman"/>
          <w:sz w:val="20"/>
          <w:szCs w:val="20"/>
          <w:color w:val="auto"/>
        </w:rPr>
      </w:pPr>
    </w:p>
    <w:p>
      <w:pPr>
        <w:ind w:right="160" w:firstLine="648"/>
        <w:spacing w:after="0" w:line="278" w:lineRule="auto"/>
        <w:tabs>
          <w:tab w:leader="none" w:pos="101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Types and Nature of Stock Appreciation Rights. Stock Appreciation Rights may be “Tandem SARs,” which are granted in conjunction with an Option, or “Free-Standing SARs,” which are not granted in conjunction with an Option. Upon the exercise of a Stock Appreciation Right, the Participant shall be entitled to receive an amount in cash, Shares, or a combination thereof,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Shares or a combination thereof, or shall reserve to the Committee or the Participant the right to make that determination prior to or upon the exercise of the Stock Appreciation Right.</w:t>
      </w:r>
    </w:p>
    <w:p>
      <w:pPr>
        <w:spacing w:after="0" w:line="112" w:lineRule="exact"/>
        <w:rPr>
          <w:rFonts w:ascii="Times New Roman" w:cs="Times New Roman" w:eastAsia="Times New Roman" w:hAnsi="Times New Roman"/>
          <w:sz w:val="20"/>
          <w:szCs w:val="20"/>
          <w:color w:val="auto"/>
        </w:rPr>
      </w:pPr>
    </w:p>
    <w:p>
      <w:pPr>
        <w:ind w:firstLine="648"/>
        <w:spacing w:after="0" w:line="284" w:lineRule="auto"/>
        <w:tabs>
          <w:tab w:leader="none" w:pos="100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Tandem SARs. A Tandem SAR may be granted at the Grant Date of the related Option. A Tandem SAR shall be exercisable only at such time or times and to the extent that the related Option is exercisable in accordance with the provisions of this Section 5, and shall have the same exercise price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12" w:right="359" w:bottom="1440" w:gutter="0" w:footer="0" w:header="0"/>
        </w:sectPr>
      </w:pPr>
    </w:p>
    <w:bookmarkStart w:id="15" w:name="page16"/>
    <w:bookmarkEnd w:id="15"/>
    <w:p>
      <w:pPr>
        <w:ind w:right="140"/>
        <w:spacing w:after="0" w:line="304" w:lineRule="auto"/>
        <w:rPr>
          <w:sz w:val="20"/>
          <w:szCs w:val="20"/>
          <w:color w:val="auto"/>
        </w:rPr>
      </w:pPr>
      <w:r>
        <w:rPr>
          <w:rFonts w:ascii="Times New Roman" w:cs="Times New Roman" w:eastAsia="Times New Roman" w:hAnsi="Times New Roman"/>
          <w:sz w:val="20"/>
          <w:szCs w:val="20"/>
          <w:color w:val="auto"/>
        </w:rPr>
        <w:t>the related Option. A Tandem SAR shall terminate or be forfeited upon the exercise or forfeiture of the related Option, and the related Option shall terminate or be forfeited upon the exercise or forfeiture of the Tandem SAR.</w:t>
      </w:r>
    </w:p>
    <w:p>
      <w:pPr>
        <w:spacing w:after="0" w:line="85" w:lineRule="exact"/>
        <w:rPr>
          <w:sz w:val="20"/>
          <w:szCs w:val="20"/>
          <w:color w:val="auto"/>
        </w:rPr>
      </w:pPr>
    </w:p>
    <w:p>
      <w:pPr>
        <w:ind w:right="80" w:firstLine="648"/>
        <w:spacing w:after="0" w:line="278" w:lineRule="auto"/>
        <w:tabs>
          <w:tab w:leader="none" w:pos="101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Price. The exercise price per Share subject to an Option or Stock Appreciation Right shall be determined by the Committee and set forth in the applicable Award Agreement, and shall not be less than the Fair Market Value of a share of the Common Stock on the applicable Grant Date. In no event may any Option or Stock Appreciation Right granted under this Plan be amended, other than pursuant to Section 3(c), to decrease the exercise price thereof, be cancelled in exchange for cash or other Awards or in conjunction with the grant of any new Option or Stock Appreciation Right with a lower exercise price, or otherwise be subject to any action that would be treated under the Applicable Exchange listing standards or for accounting purposes, as a “repricing” of such Option or Stock Appreciation Right, unless such amendment, cancellation, or action is approved by the Company’s stockholders.</w:t>
      </w:r>
    </w:p>
    <w:p>
      <w:pPr>
        <w:spacing w:after="0" w:line="112" w:lineRule="exact"/>
        <w:rPr>
          <w:rFonts w:ascii="Times New Roman" w:cs="Times New Roman" w:eastAsia="Times New Roman" w:hAnsi="Times New Roman"/>
          <w:sz w:val="20"/>
          <w:szCs w:val="20"/>
          <w:color w:val="auto"/>
        </w:rPr>
      </w:pPr>
    </w:p>
    <w:p>
      <w:pPr>
        <w:ind w:left="1000" w:hanging="352"/>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The Term of each Option and each Stock Appreciation Right shall be fixed by the Committee, but shall not exceed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 years from the Grant Date.</w:t>
      </w:r>
    </w:p>
    <w:p>
      <w:pPr>
        <w:spacing w:after="0" w:line="171" w:lineRule="exact"/>
        <w:rPr>
          <w:sz w:val="20"/>
          <w:szCs w:val="20"/>
          <w:color w:val="auto"/>
        </w:rPr>
      </w:pPr>
    </w:p>
    <w:p>
      <w:pPr>
        <w:ind w:firstLine="648"/>
        <w:spacing w:after="0" w:line="281" w:lineRule="auto"/>
        <w:tabs>
          <w:tab w:leader="none" w:pos="9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Vesting and Exercisability. Except as otherwise provided herein, and subject to Section 2(e), Options and Stock Appreciation Rights shall be exercisable at such time or times and subject to such terms and conditions as shall be determined by the Committee. If the Committee provides that any Option or Stock Appreciation Right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Stock Appreciation Right.</w:t>
      </w:r>
    </w:p>
    <w:p>
      <w:pPr>
        <w:spacing w:after="0" w:line="109" w:lineRule="exact"/>
        <w:rPr>
          <w:rFonts w:ascii="Times New Roman" w:cs="Times New Roman" w:eastAsia="Times New Roman" w:hAnsi="Times New Roman"/>
          <w:sz w:val="20"/>
          <w:szCs w:val="20"/>
          <w:color w:val="auto"/>
        </w:rPr>
      </w:pPr>
    </w:p>
    <w:p>
      <w:pPr>
        <w:ind w:firstLine="648"/>
        <w:spacing w:after="0" w:line="276" w:lineRule="auto"/>
        <w:tabs>
          <w:tab w:leader="none" w:pos="101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Method of Exercise. Subject to the provisions of this Section 5, vested Options and Stock Appreciation Rights may be exercised, in whole or in part, at any time during the applicable Term by giving written notice of exercise to the Company or through the procedures established with the Company’s appointed third-party Plan administrator specifying the number of Shares as to which the Option or Stock Appreciation Right is being exercised; provided, however, that, unless otherwise permitted by the Committee, any such exercise must be with respect to a portion of the applicable Option or Stock Appreciation Right relating to no less than the lesser of the number of Shares then subject to such Option or Stock Appreciation Right or 100 Shares. In the case of the exercise of an Option, such notice shall be accompanied by payment in full of the aggregate purchase price (which shall equal the product of such number of Shares subject to such Option multiplied by the applicable per Share exercise price) by certified or bank check or such other instrument as the Company may accept. If approved by the Committee, payment, in full or in part, may also be made as follows:</w:t>
      </w:r>
    </w:p>
    <w:p>
      <w:pPr>
        <w:spacing w:after="0" w:line="117" w:lineRule="exact"/>
        <w:rPr>
          <w:rFonts w:ascii="Times New Roman" w:cs="Times New Roman" w:eastAsia="Times New Roman" w:hAnsi="Times New Roman"/>
          <w:sz w:val="20"/>
          <w:szCs w:val="20"/>
          <w:color w:val="auto"/>
        </w:rPr>
      </w:pPr>
    </w:p>
    <w:p>
      <w:pPr>
        <w:ind w:left="640" w:firstLine="649"/>
        <w:spacing w:after="0" w:line="281" w:lineRule="auto"/>
        <w:tabs>
          <w:tab w:leader="none" w:pos="161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may be made in the form of unrestricted Shares already owned by Participant (by delivery of such Shares or by attestation) of the same class as the Common Stock subject to the Option (based on the Fair Market Value of the Common Stock on the date the Option is exercised); provided, however, that, in the case of an Incentive Stock Option, the right to make a payment in the form of already owned Shares of the same class as the Common Stock subject to the Option may be authorized only at the time the Option is granted.</w:t>
      </w:r>
    </w:p>
    <w:p>
      <w:pPr>
        <w:spacing w:after="0" w:line="109" w:lineRule="exact"/>
        <w:rPr>
          <w:rFonts w:ascii="Times New Roman" w:cs="Times New Roman" w:eastAsia="Times New Roman" w:hAnsi="Times New Roman"/>
          <w:sz w:val="20"/>
          <w:szCs w:val="20"/>
          <w:color w:val="auto"/>
        </w:rPr>
      </w:pPr>
    </w:p>
    <w:p>
      <w:pPr>
        <w:ind w:left="640" w:right="60" w:firstLine="649"/>
        <w:spacing w:after="0" w:line="304" w:lineRule="auto"/>
        <w:tabs>
          <w:tab w:leader="none" w:pos="166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payment may be made by delivering a properly executed exercise notice to the Company, together with a copy of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412" w:right="359" w:bottom="1440" w:gutter="0" w:footer="0" w:header="0"/>
        </w:sectPr>
      </w:pPr>
    </w:p>
    <w:bookmarkStart w:id="16" w:name="page17"/>
    <w:bookmarkEnd w:id="16"/>
    <w:p>
      <w:pPr>
        <w:ind w:left="580" w:right="120"/>
        <w:spacing w:after="0" w:line="322" w:lineRule="auto"/>
        <w:rPr>
          <w:sz w:val="20"/>
          <w:szCs w:val="20"/>
          <w:color w:val="auto"/>
        </w:rPr>
      </w:pPr>
      <w:r>
        <w:rPr>
          <w:rFonts w:ascii="Times New Roman" w:cs="Times New Roman" w:eastAsia="Times New Roman" w:hAnsi="Times New Roman"/>
          <w:sz w:val="18"/>
          <w:szCs w:val="18"/>
          <w:color w:val="auto"/>
        </w:rPr>
        <w:t>instructions to a broker to deliver promptly to the Company the amount of sale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78" w:lineRule="exact"/>
        <w:rPr>
          <w:sz w:val="20"/>
          <w:szCs w:val="20"/>
          <w:color w:val="auto"/>
        </w:rPr>
      </w:pPr>
    </w:p>
    <w:p>
      <w:pPr>
        <w:ind w:left="580" w:right="20" w:firstLine="649"/>
        <w:spacing w:after="0" w:line="291" w:lineRule="auto"/>
        <w:tabs>
          <w:tab w:leader="none" w:pos="166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may be made by instructing the Company to withhold a number of Shares having a Fair Market Value (based on the Fair Market Value of the Common Stock on the date the applicable Option is exercised) equal to the product of (A) the exercise price per Share multiplied by (B) the number of Shares in respect of which the Option shall have been exercised.</w:t>
      </w:r>
    </w:p>
    <w:p>
      <w:pPr>
        <w:spacing w:after="0" w:line="98" w:lineRule="exact"/>
        <w:rPr>
          <w:rFonts w:ascii="Times New Roman" w:cs="Times New Roman" w:eastAsia="Times New Roman" w:hAnsi="Times New Roman"/>
          <w:sz w:val="20"/>
          <w:szCs w:val="20"/>
          <w:color w:val="auto"/>
        </w:rPr>
      </w:pPr>
    </w:p>
    <w:p>
      <w:pPr>
        <w:ind w:left="-60" w:right="80" w:firstLine="648"/>
        <w:spacing w:after="0" w:line="315"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Rights of Stockholders. No Shares shall be delivered pursuant to the exercise of an Option until the exercise price therefor has been fully paid and applicable taxes have been withheld. The applicable Participant shall have all of the rights of a stockholder of the Company holding the class or series of Common Stock that is subject to the Option or Stock Appreciation Right (including, if applicable, the right to vote the applicable Shares and the right to receive dividends), when the Participant (i) has given written notice of exercise, (ii) if requested, has given the representation described in Section 14(a), and (iii) in the case of an Option, has paid in full for such Shares.</w:t>
      </w:r>
    </w:p>
    <w:p>
      <w:pPr>
        <w:spacing w:after="0" w:line="97" w:lineRule="exact"/>
        <w:rPr>
          <w:rFonts w:ascii="Times New Roman" w:cs="Times New Roman" w:eastAsia="Times New Roman" w:hAnsi="Times New Roman"/>
          <w:sz w:val="18"/>
          <w:szCs w:val="18"/>
          <w:color w:val="auto"/>
        </w:rPr>
      </w:pPr>
    </w:p>
    <w:p>
      <w:pPr>
        <w:ind w:left="-60" w:right="120" w:firstLine="648"/>
        <w:spacing w:after="0" w:line="290" w:lineRule="auto"/>
        <w:tabs>
          <w:tab w:leader="none" w:pos="90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Terminations of Employment. Subject to Section 10(b), a Participant’s Options and Stock Appreciation Rights shall be forfeited upon such Participant’s Termination of Employment, except as set forth below:</w:t>
      </w:r>
    </w:p>
    <w:p>
      <w:pPr>
        <w:spacing w:after="0" w:line="112" w:lineRule="exact"/>
        <w:rPr>
          <w:rFonts w:ascii="Times New Roman" w:cs="Times New Roman" w:eastAsia="Times New Roman" w:hAnsi="Times New Roman"/>
          <w:sz w:val="20"/>
          <w:szCs w:val="20"/>
          <w:color w:val="auto"/>
        </w:rPr>
      </w:pPr>
    </w:p>
    <w:p>
      <w:pPr>
        <w:ind w:left="580" w:right="60" w:firstLine="649"/>
        <w:spacing w:after="0" w:line="302" w:lineRule="auto"/>
        <w:tabs>
          <w:tab w:leader="none" w:pos="155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death, any Option or Stock Appreciation Right held by the Participant that was exercisable immediately before the Termination of Employment may be exercised at any time until the earlier of</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the first anniversary of the date of such death and (B) the expiration of the Term thereof;</w:t>
      </w:r>
    </w:p>
    <w:p>
      <w:pPr>
        <w:spacing w:after="0" w:line="171" w:lineRule="exact"/>
        <w:rPr>
          <w:sz w:val="20"/>
          <w:szCs w:val="20"/>
          <w:color w:val="auto"/>
        </w:rPr>
      </w:pPr>
    </w:p>
    <w:p>
      <w:pPr>
        <w:jc w:val="center"/>
        <w:ind w:left="580" w:firstLine="649"/>
        <w:spacing w:after="0" w:line="329" w:lineRule="auto"/>
        <w:tabs>
          <w:tab w:leader="none" w:pos="16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Disability or Retirement, any Option or Stock Appreciation Right held by the Participant that was exercisable immediately before the Termination of Employment may be exercised at any time until the earlier of (A) the first anniversary of such Termination of Employment and (B) the expiration of the Term thereof;</w:t>
      </w:r>
    </w:p>
    <w:p>
      <w:pPr>
        <w:spacing w:after="0" w:line="83" w:lineRule="exact"/>
        <w:rPr>
          <w:rFonts w:ascii="Times New Roman" w:cs="Times New Roman" w:eastAsia="Times New Roman" w:hAnsi="Times New Roman"/>
          <w:sz w:val="18"/>
          <w:szCs w:val="18"/>
          <w:color w:val="auto"/>
        </w:rPr>
      </w:pPr>
    </w:p>
    <w:p>
      <w:pPr>
        <w:ind w:left="580" w:right="640" w:firstLine="649"/>
        <w:spacing w:after="0" w:line="290" w:lineRule="auto"/>
        <w:tabs>
          <w:tab w:leader="none" w:pos="166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Participant’s Termination of Employment for Cause, any Option or Stock Appreciation Right held by the Participant shall be forfeited, effective as of such Termination of Employment;</w:t>
      </w:r>
    </w:p>
    <w:p>
      <w:pPr>
        <w:spacing w:after="0" w:line="112" w:lineRule="exact"/>
        <w:rPr>
          <w:rFonts w:ascii="Times New Roman" w:cs="Times New Roman" w:eastAsia="Times New Roman" w:hAnsi="Times New Roman"/>
          <w:sz w:val="20"/>
          <w:szCs w:val="20"/>
          <w:color w:val="auto"/>
        </w:rPr>
      </w:pPr>
    </w:p>
    <w:p>
      <w:pPr>
        <w:ind w:left="580" w:right="180" w:firstLine="649"/>
        <w:spacing w:after="0" w:line="304" w:lineRule="auto"/>
        <w:tabs>
          <w:tab w:leader="none" w:pos="16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for any reason other than death, Disability, Retirement, or for Cause, any Option or Stock Appreciation Right held by the Participant that was exercisable immediately before the Termination of Employment may be exercised at any time until the earlier of (A) the 90th day following such Termination of Employment and</w:t>
      </w:r>
    </w:p>
    <w:p>
      <w:pPr>
        <w:spacing w:after="0" w:line="1" w:lineRule="exact"/>
        <w:rPr>
          <w:rFonts w:ascii="Times New Roman" w:cs="Times New Roman" w:eastAsia="Times New Roman" w:hAnsi="Times New Roman"/>
          <w:sz w:val="18"/>
          <w:szCs w:val="18"/>
          <w:color w:val="auto"/>
        </w:rPr>
      </w:pPr>
    </w:p>
    <w:p>
      <w:pPr>
        <w:ind w:left="900" w:hanging="312"/>
        <w:spacing w:after="0"/>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the Term thereof; and</w:t>
      </w:r>
    </w:p>
    <w:p>
      <w:pPr>
        <w:spacing w:after="0" w:line="170" w:lineRule="exact"/>
        <w:rPr>
          <w:rFonts w:ascii="Times New Roman" w:cs="Times New Roman" w:eastAsia="Times New Roman" w:hAnsi="Times New Roman"/>
          <w:sz w:val="20"/>
          <w:szCs w:val="20"/>
          <w:color w:val="auto"/>
        </w:rPr>
      </w:pPr>
    </w:p>
    <w:p>
      <w:pPr>
        <w:ind w:left="580" w:right="380" w:firstLine="649"/>
        <w:spacing w:after="0" w:line="304" w:lineRule="auto"/>
        <w:tabs>
          <w:tab w:leader="none" w:pos="159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provisions of this Section 5(i), if a Participant dies after such Participant’s Termination of Employment but while any Option or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80" w:top="1412" w:right="379" w:bottom="1440" w:gutter="0" w:footer="0" w:header="0"/>
        </w:sectPr>
      </w:pPr>
    </w:p>
    <w:bookmarkStart w:id="17" w:name="page18"/>
    <w:bookmarkEnd w:id="17"/>
    <w:p>
      <w:pPr>
        <w:ind w:left="640" w:right="20"/>
        <w:spacing w:after="0" w:line="284" w:lineRule="auto"/>
        <w:rPr>
          <w:sz w:val="20"/>
          <w:szCs w:val="20"/>
          <w:color w:val="auto"/>
        </w:rPr>
      </w:pPr>
      <w:r>
        <w:rPr>
          <w:rFonts w:ascii="Times New Roman" w:cs="Times New Roman" w:eastAsia="Times New Roman" w:hAnsi="Times New Roman"/>
          <w:sz w:val="20"/>
          <w:szCs w:val="20"/>
          <w:color w:val="auto"/>
        </w:rPr>
        <w:t>remains exercisable as set forth above, such Option or Stock Appreciation Right may be exercised at any time until the later of (A) the earlier of (1) the first anniversary of the date of such death and (2) expiration of the Term thereof and (B) the last date on which such Option or Stock Appreciation Right would have been exercisable, absent this Section 5(i)(v).</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Notwithstanding the foregoing, the Committee shall have the power, in its discretion, to apply different rules concerning the consequences of a Termination of Employment; provided, however,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Option.</w:t>
      </w:r>
    </w:p>
    <w:p>
      <w:pPr>
        <w:spacing w:after="0" w:line="108" w:lineRule="exact"/>
        <w:rPr>
          <w:sz w:val="20"/>
          <w:szCs w:val="20"/>
          <w:color w:val="auto"/>
        </w:rPr>
      </w:pPr>
    </w:p>
    <w:p>
      <w:pPr>
        <w:ind w:right="120" w:firstLine="648"/>
        <w:spacing w:after="0" w:line="273" w:lineRule="auto"/>
        <w:tabs>
          <w:tab w:leader="none" w:pos="97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Nontransferability of Options and Stock Appreciation Rights. No Option or Stock Appreciation Right shall be transferable by a Participant other than (i) by will or by the laws of descent and distribution, or (ii) in the case of a Nonqualified Option or Stock Appreciation Right,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 “Participant” includes such guardian, legal representative, and other</w:t>
      </w:r>
    </w:p>
    <w:p>
      <w:pPr>
        <w:spacing w:after="0" w:line="2" w:lineRule="exact"/>
        <w:rPr>
          <w:rFonts w:ascii="Times New Roman" w:cs="Times New Roman" w:eastAsia="Times New Roman" w:hAnsi="Times New Roman"/>
          <w:sz w:val="20"/>
          <w:szCs w:val="20"/>
          <w:color w:val="auto"/>
        </w:rPr>
      </w:pPr>
    </w:p>
    <w:p>
      <w:pPr>
        <w:ind w:right="300"/>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transferee; provided, however, that the term “Termination of Employment” shall continue to refer to the Termination of Employment of the original Participant.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  Restricted Stock</w:t>
      </w:r>
    </w:p>
    <w:p>
      <w:pPr>
        <w:spacing w:after="0" w:line="175" w:lineRule="exact"/>
        <w:rPr>
          <w:sz w:val="20"/>
          <w:szCs w:val="20"/>
          <w:color w:val="auto"/>
        </w:rPr>
      </w:pPr>
    </w:p>
    <w:p>
      <w:pPr>
        <w:ind w:right="260" w:firstLine="641"/>
        <w:spacing w:after="0" w:line="304" w:lineRule="auto"/>
        <w:rPr>
          <w:sz w:val="20"/>
          <w:szCs w:val="20"/>
          <w:color w:val="auto"/>
        </w:rPr>
      </w:pPr>
      <w:r>
        <w:rPr>
          <w:rFonts w:ascii="Times New Roman" w:cs="Times New Roman" w:eastAsia="Times New Roman" w:hAnsi="Times New Roman"/>
          <w:sz w:val="20"/>
          <w:szCs w:val="20"/>
          <w:color w:val="auto"/>
        </w:rPr>
        <w:t>With respect to Prior Plan Awards, the provisions below shall be applicable only to the extent that they are not inconsistent with the terms of the applicable Prior Plan Award.</w:t>
      </w:r>
    </w:p>
    <w:p>
      <w:pPr>
        <w:spacing w:after="0" w:line="85" w:lineRule="exact"/>
        <w:rPr>
          <w:sz w:val="20"/>
          <w:szCs w:val="20"/>
          <w:color w:val="auto"/>
        </w:rPr>
      </w:pPr>
    </w:p>
    <w:p>
      <w:pPr>
        <w:ind w:right="20" w:firstLine="648"/>
        <w:spacing w:after="0" w:line="282" w:lineRule="auto"/>
        <w:tabs>
          <w:tab w:leader="none" w:pos="100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Awards and Certificates.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w:t>
      </w:r>
    </w:p>
    <w:p>
      <w:pPr>
        <w:spacing w:after="0" w:line="121"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20"/>
          <w:szCs w:val="20"/>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05" w:lineRule="exact"/>
        <w:rPr>
          <w:sz w:val="20"/>
          <w:szCs w:val="20"/>
          <w:color w:val="auto"/>
        </w:rPr>
      </w:pPr>
    </w:p>
    <w:p>
      <w:pPr>
        <w:ind w:left="1020" w:hanging="372"/>
        <w:spacing w:after="0"/>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and Conditions.  Shares of Restricted Stock shall be subject to the following terms and conditions: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72"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20" w:top="1412" w:right="379" w:bottom="1440" w:gutter="0" w:footer="0" w:header="0"/>
        </w:sectPr>
      </w:pPr>
    </w:p>
    <w:bookmarkStart w:id="18" w:name="page19"/>
    <w:bookmarkEnd w:id="18"/>
    <w:p>
      <w:pPr>
        <w:ind w:left="640" w:firstLine="649"/>
        <w:spacing w:after="0" w:line="281" w:lineRule="auto"/>
        <w:tabs>
          <w:tab w:leader="none" w:pos="160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subject to Section 2(e). The conditions for grant, vesting, or transferability and the other provisions of Restricted Stock Awards (including, without limitation, any Performance Goals) need not be the same with respect to each Participant.</w:t>
      </w:r>
    </w:p>
    <w:p>
      <w:pPr>
        <w:spacing w:after="0" w:line="109" w:lineRule="exact"/>
        <w:rPr>
          <w:rFonts w:ascii="Times New Roman" w:cs="Times New Roman" w:eastAsia="Times New Roman" w:hAnsi="Times New Roman"/>
          <w:sz w:val="20"/>
          <w:szCs w:val="20"/>
          <w:color w:val="auto"/>
        </w:rPr>
      </w:pPr>
    </w:p>
    <w:p>
      <w:pPr>
        <w:ind w:left="640" w:right="120" w:firstLine="649"/>
        <w:spacing w:after="0" w:line="284" w:lineRule="auto"/>
        <w:tabs>
          <w:tab w:leader="none" w:pos="166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Plan and the applicable Award Agreement, so long as a Restricted Stock Award remains subject to the satisfaction of vesting conditions (the “RS Restriction Period”), the Participant shall not be permitted to sell, assign, transfer, pledge, or otherwise encumber Shares of Restricted Stock.</w:t>
      </w:r>
    </w:p>
    <w:p>
      <w:pPr>
        <w:spacing w:after="0" w:line="105" w:lineRule="exact"/>
        <w:rPr>
          <w:rFonts w:ascii="Times New Roman" w:cs="Times New Roman" w:eastAsia="Times New Roman" w:hAnsi="Times New Roman"/>
          <w:sz w:val="20"/>
          <w:szCs w:val="20"/>
          <w:color w:val="auto"/>
        </w:rPr>
      </w:pPr>
    </w:p>
    <w:p>
      <w:pPr>
        <w:ind w:left="640" w:right="180" w:firstLine="649"/>
        <w:spacing w:after="0" w:line="275" w:lineRule="auto"/>
        <w:tabs>
          <w:tab w:leader="none" w:pos="172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this Plan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subject to Section 14(e). If so determined by the Committee in the applicable Award Agreement and subject to</w:t>
      </w:r>
    </w:p>
    <w:p>
      <w:pPr>
        <w:spacing w:after="0" w:line="1" w:lineRule="exact"/>
        <w:rPr>
          <w:rFonts w:ascii="Times New Roman" w:cs="Times New Roman" w:eastAsia="Times New Roman" w:hAnsi="Times New Roman"/>
          <w:sz w:val="20"/>
          <w:szCs w:val="20"/>
          <w:color w:val="auto"/>
        </w:rPr>
      </w:pPr>
    </w:p>
    <w:p>
      <w:pPr>
        <w:ind w:left="640" w:right="120"/>
        <w:spacing w:after="0" w:line="3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Section 14(e), (A) cash dividends on the class or series of Common Stock that is the subject of the Restricted Stock Award shall be automatically reinvested in additional Restricted Stock, held subject to the vesting of the underlying Restricted Stock, and (B) subject to any adjustment pursuant to Section 3(c), dividends payable in Common Stock shall be paid in the form of Restricted Stock of the same class as the Common Stock with which such dividend was paid, held subject to the vesting of the underlying Restricted Stock.</w:t>
      </w:r>
    </w:p>
    <w:p>
      <w:pPr>
        <w:spacing w:after="0" w:line="78" w:lineRule="exact"/>
        <w:rPr>
          <w:rFonts w:ascii="Times New Roman" w:cs="Times New Roman" w:eastAsia="Times New Roman" w:hAnsi="Times New Roman"/>
          <w:sz w:val="20"/>
          <w:szCs w:val="20"/>
          <w:color w:val="auto"/>
        </w:rPr>
      </w:pPr>
    </w:p>
    <w:p>
      <w:pPr>
        <w:ind w:left="640" w:right="80" w:firstLine="649"/>
        <w:spacing w:after="0" w:line="281" w:lineRule="auto"/>
        <w:tabs>
          <w:tab w:leader="none" w:pos="171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the applicable Award Agreement and subject to Section 10(b), upon a Participant’s Termination of Employment for any reason during the RS Restriction Period or before the applicable Performance Goals are satisfied, all Shares of Restricted Stock still subject to restriction shall be forfeited by such Participant; provided, however, that the Committee shall have the discretion to waive, in whole or in part, any or all remaining restrictions with respect to any or all of such Participant’s Shares of Restricted Stock.</w:t>
      </w:r>
    </w:p>
    <w:p>
      <w:pPr>
        <w:spacing w:after="0" w:line="109" w:lineRule="exact"/>
        <w:rPr>
          <w:rFonts w:ascii="Times New Roman" w:cs="Times New Roman" w:eastAsia="Times New Roman" w:hAnsi="Times New Roman"/>
          <w:sz w:val="20"/>
          <w:szCs w:val="20"/>
          <w:color w:val="auto"/>
        </w:rPr>
      </w:pPr>
    </w:p>
    <w:p>
      <w:pPr>
        <w:ind w:left="640" w:right="200" w:firstLine="649"/>
        <w:spacing w:after="0" w:line="284" w:lineRule="auto"/>
        <w:tabs>
          <w:tab w:leader="none" w:pos="165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Restricted Stock Units</w:t>
      </w:r>
    </w:p>
    <w:p>
      <w:pPr>
        <w:spacing w:after="0" w:line="175" w:lineRule="exact"/>
        <w:rPr>
          <w:sz w:val="20"/>
          <w:szCs w:val="20"/>
          <w:color w:val="auto"/>
        </w:rPr>
      </w:pPr>
    </w:p>
    <w:p>
      <w:pPr>
        <w:ind w:right="280" w:firstLine="641"/>
        <w:spacing w:after="0" w:line="304" w:lineRule="auto"/>
        <w:rPr>
          <w:sz w:val="20"/>
          <w:szCs w:val="20"/>
          <w:color w:val="auto"/>
        </w:rPr>
      </w:pPr>
      <w:r>
        <w:rPr>
          <w:rFonts w:ascii="Times New Roman" w:cs="Times New Roman" w:eastAsia="Times New Roman" w:hAnsi="Times New Roman"/>
          <w:sz w:val="20"/>
          <w:szCs w:val="20"/>
          <w:color w:val="auto"/>
        </w:rPr>
        <w:t>With respect to Prior Plan Awards, the provisions below shall be applicable only to the extent that they are not inconsistent with the terms of the applicable Prior Plan Award.</w:t>
      </w:r>
    </w:p>
    <w:p>
      <w:pPr>
        <w:spacing w:after="0" w:line="85" w:lineRule="exact"/>
        <w:rPr>
          <w:sz w:val="20"/>
          <w:szCs w:val="20"/>
          <w:color w:val="auto"/>
        </w:rPr>
      </w:pPr>
    </w:p>
    <w:p>
      <w:pPr>
        <w:ind w:right="660" w:firstLine="648"/>
        <w:spacing w:after="0" w:line="304" w:lineRule="auto"/>
        <w:tabs>
          <w:tab w:leader="none" w:pos="100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Awards. Restricted Stock Units are Awards denominated in Shares that will be settled, subject to the terms and conditions of the Restricted Stock Units, in an amount in cash, Shares,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12" w:right="359" w:bottom="1440" w:gutter="0" w:footer="0" w:header="0"/>
        </w:sectPr>
      </w:pPr>
    </w:p>
    <w:bookmarkStart w:id="19" w:name="page20"/>
    <w:bookmarkEnd w:id="19"/>
    <w:p>
      <w:pPr>
        <w:ind w:left="1020" w:hanging="372"/>
        <w:spacing w:after="0"/>
        <w:tabs>
          <w:tab w:leader="none" w:pos="10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and Conditions.  Restricted Stock Units shall be subject to the following terms and conditions:</w:t>
      </w:r>
    </w:p>
    <w:p>
      <w:pPr>
        <w:spacing w:after="0" w:line="170" w:lineRule="exact"/>
        <w:rPr>
          <w:rFonts w:ascii="Times New Roman" w:cs="Times New Roman" w:eastAsia="Times New Roman" w:hAnsi="Times New Roman"/>
          <w:sz w:val="20"/>
          <w:szCs w:val="20"/>
          <w:color w:val="auto"/>
        </w:rPr>
      </w:pPr>
    </w:p>
    <w:p>
      <w:pPr>
        <w:ind w:left="640" w:right="20" w:firstLine="649"/>
        <w:spacing w:after="0" w:line="281" w:lineRule="auto"/>
        <w:tabs>
          <w:tab w:leader="none" w:pos="160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subject to Section 2(e). The conditions for grant, vesting, or transferability and the other provisions of Restricted Stock Units (including, without limitation, any Performance Goals) need not be the same with respect to each Participant.</w:t>
      </w:r>
    </w:p>
    <w:p>
      <w:pPr>
        <w:spacing w:after="0" w:line="109" w:lineRule="exact"/>
        <w:rPr>
          <w:rFonts w:ascii="Times New Roman" w:cs="Times New Roman" w:eastAsia="Times New Roman" w:hAnsi="Times New Roman"/>
          <w:sz w:val="20"/>
          <w:szCs w:val="20"/>
          <w:color w:val="auto"/>
        </w:rPr>
      </w:pPr>
    </w:p>
    <w:p>
      <w:pPr>
        <w:ind w:left="640" w:right="20" w:firstLine="649"/>
        <w:spacing w:after="0" w:line="284" w:lineRule="auto"/>
        <w:tabs>
          <w:tab w:leader="none" w:pos="166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Plan and the applicable Award Agreement, so long as an Award of Restricted Stock Units remains subject to the satisfaction of vesting conditions (the “RSU Restriction Period”), the Participant shall not be permitted to sell, assign, transfer, pledge, or otherwise encumber Restricted Stock Units.</w:t>
      </w:r>
    </w:p>
    <w:p>
      <w:pPr>
        <w:spacing w:after="0" w:line="118" w:lineRule="exact"/>
        <w:rPr>
          <w:rFonts w:ascii="Times New Roman" w:cs="Times New Roman" w:eastAsia="Times New Roman" w:hAnsi="Times New Roman"/>
          <w:sz w:val="20"/>
          <w:szCs w:val="20"/>
          <w:color w:val="auto"/>
        </w:rPr>
      </w:pPr>
    </w:p>
    <w:p>
      <w:pPr>
        <w:ind w:left="640" w:firstLine="649"/>
        <w:spacing w:after="0" w:line="284" w:lineRule="auto"/>
        <w:tabs>
          <w:tab w:leader="none" w:pos="1718"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Agreement for Restricted Stock Units shall specify whether, to what extent, and on what terms and conditions the applicable Participant shall be entitled to receive current or delayed payments of cash, Common Stock, or other property corresponding to the dividends payable on the Common Stock (subject to Section 14(e)).</w:t>
      </w:r>
    </w:p>
    <w:p>
      <w:pPr>
        <w:spacing w:after="0" w:line="105" w:lineRule="exact"/>
        <w:rPr>
          <w:rFonts w:ascii="Times New Roman" w:cs="Times New Roman" w:eastAsia="Times New Roman" w:hAnsi="Times New Roman"/>
          <w:sz w:val="20"/>
          <w:szCs w:val="20"/>
          <w:color w:val="auto"/>
        </w:rPr>
      </w:pPr>
    </w:p>
    <w:p>
      <w:pPr>
        <w:ind w:left="640" w:right="300" w:firstLine="698"/>
        <w:spacing w:after="0" w:line="281" w:lineRule="auto"/>
        <w:tabs>
          <w:tab w:leader="none" w:pos="17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the applicable Award Agreement, and subject to Section 10(b), upon a Participant’s Termination of Employment for any reason during the RSU Restriction Period or before the applicable Performance Goals are satisfied, all Restricted Stock Units still subject to restriction shall be forfeited by such Participant; provided, however, that the Committee shall have the discretion to waive, in whole or in part, any or all remaining restrictions with respect to any or all of such Participant’s Restricted Stock Units.</w:t>
      </w:r>
    </w:p>
    <w:p>
      <w:pPr>
        <w:spacing w:after="0" w:line="110" w:lineRule="exact"/>
        <w:rPr>
          <w:sz w:val="20"/>
          <w:szCs w:val="20"/>
          <w:color w:val="auto"/>
        </w:rPr>
      </w:pPr>
    </w:p>
    <w:p>
      <w:pPr>
        <w:ind w:left="640" w:right="40" w:firstLine="649"/>
        <w:spacing w:after="0" w:line="284" w:lineRule="auto"/>
        <w:tabs>
          <w:tab w:leader="none" w:pos="16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provided in the applicable Award Agreement, an award of Restricted Stock Units shall be settled as and when the Restricted Stock Units vest (but in no event later than March 15th of the calendar year following the end of the calendar year in which the Restricted Stock Units vest).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8.  Other Stock-Based Awards</w:t>
      </w:r>
    </w:p>
    <w:p>
      <w:pPr>
        <w:spacing w:after="0" w:line="175" w:lineRule="exact"/>
        <w:rPr>
          <w:sz w:val="20"/>
          <w:szCs w:val="20"/>
          <w:color w:val="auto"/>
        </w:rPr>
      </w:pPr>
    </w:p>
    <w:p>
      <w:pPr>
        <w:ind w:right="180" w:firstLine="641"/>
        <w:spacing w:after="0" w:line="284" w:lineRule="auto"/>
        <w:rPr>
          <w:sz w:val="20"/>
          <w:szCs w:val="20"/>
          <w:color w:val="auto"/>
        </w:rPr>
      </w:pPr>
      <w:r>
        <w:rPr>
          <w:rFonts w:ascii="Times New Roman" w:cs="Times New Roman" w:eastAsia="Times New Roman" w:hAnsi="Times New Roman"/>
          <w:sz w:val="20"/>
          <w:szCs w:val="20"/>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(“Other Stock-Based Awards”), may be granted under this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  Cash-Based Awards</w:t>
      </w:r>
    </w:p>
    <w:p>
      <w:pPr>
        <w:spacing w:after="0" w:line="175" w:lineRule="exact"/>
        <w:rPr>
          <w:sz w:val="20"/>
          <w:szCs w:val="20"/>
          <w:color w:val="auto"/>
        </w:rPr>
      </w:pPr>
    </w:p>
    <w:p>
      <w:pPr>
        <w:ind w:right="480" w:firstLine="641"/>
        <w:spacing w:after="0" w:line="304" w:lineRule="auto"/>
        <w:rPr>
          <w:sz w:val="20"/>
          <w:szCs w:val="20"/>
          <w:color w:val="auto"/>
        </w:rPr>
      </w:pPr>
      <w:r>
        <w:rPr>
          <w:rFonts w:ascii="Times New Roman" w:cs="Times New Roman" w:eastAsia="Times New Roman" w:hAnsi="Times New Roman"/>
          <w:sz w:val="20"/>
          <w:szCs w:val="20"/>
          <w:color w:val="auto"/>
        </w:rPr>
        <w:t>Cash-Based Awards may be granted under this Plan. Cash-Based Awards may be paid in cash or in Shares (valued at Fair Market Value as of the date of payment) as determined by the Committee.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10.  Change in Control Provisions</w:t>
      </w:r>
    </w:p>
    <w:p>
      <w:pPr>
        <w:spacing w:after="0" w:line="175" w:lineRule="exact"/>
        <w:rPr>
          <w:sz w:val="20"/>
          <w:szCs w:val="20"/>
          <w:color w:val="auto"/>
        </w:rPr>
      </w:pPr>
    </w:p>
    <w:p>
      <w:pPr>
        <w:ind w:right="200" w:firstLine="648"/>
        <w:spacing w:after="0" w:line="304" w:lineRule="auto"/>
        <w:tabs>
          <w:tab w:leader="none" w:pos="100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 of Change in Control. Except as otherwise may be provided in an applicable Award Agreement, for purposes of this Plan, a “Change in Control” shall mean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2" w:right="339" w:bottom="1440" w:gutter="0" w:footer="0" w:header="0"/>
        </w:sectPr>
      </w:pPr>
    </w:p>
    <w:bookmarkStart w:id="20" w:name="page21"/>
    <w:bookmarkEnd w:id="20"/>
    <w:p>
      <w:pPr>
        <w:ind w:left="-480" w:right="200" w:firstLine="649"/>
        <w:spacing w:after="0" w:line="276" w:lineRule="auto"/>
        <w:tabs>
          <w:tab w:leader="none" w:pos="48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individual, entity, or group (within the meaning of Section 13(d)(3) or 14(d)(2) of the Exchange Act) (a “Person”)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“Outstanding Company Voting Securities”); provided, however, that for purposes of this Section 10(a)(i), the following acquisitions shall not constitute a Change in Control: (A) any acquisition by the Company, (B) any acquisition directly from the Company, (C) any acquisition by any employee benefit plan (or related trust) sponsored or maintained by the Company or any entity controlled by the Company, or (D) any acquisition pursuant to a transaction that complies with clauses (A), (B) and (C) of Section 10(a)(iii);</w:t>
      </w:r>
    </w:p>
    <w:p>
      <w:pPr>
        <w:spacing w:after="0" w:line="128" w:lineRule="exact"/>
        <w:rPr>
          <w:rFonts w:ascii="Times New Roman" w:cs="Times New Roman" w:eastAsia="Times New Roman" w:hAnsi="Times New Roman"/>
          <w:sz w:val="20"/>
          <w:szCs w:val="20"/>
          <w:color w:val="auto"/>
        </w:rPr>
      </w:pPr>
    </w:p>
    <w:p>
      <w:pPr>
        <w:ind w:left="-480" w:right="20" w:firstLine="649"/>
        <w:spacing w:after="0" w:line="278" w:lineRule="auto"/>
        <w:tabs>
          <w:tab w:leader="none" w:pos="54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12" w:lineRule="exact"/>
        <w:rPr>
          <w:rFonts w:ascii="Times New Roman" w:cs="Times New Roman" w:eastAsia="Times New Roman" w:hAnsi="Times New Roman"/>
          <w:sz w:val="20"/>
          <w:szCs w:val="20"/>
          <w:color w:val="auto"/>
        </w:rPr>
      </w:pPr>
    </w:p>
    <w:p>
      <w:pPr>
        <w:ind w:left="-480" w:firstLine="649"/>
        <w:spacing w:after="0" w:line="308" w:lineRule="auto"/>
        <w:tabs>
          <w:tab w:leader="none" w:pos="6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a sale or other disposition of all or substantially all of the assets of the Company, or a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any employee benefit plan (or related trust) of the Company or such entity resulting from such Business Combination) beneficially owns,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were members of the Incumbent Board at the time of the initial agreement, or action of the Board, providing for such Business Combination; or</w:t>
      </w:r>
    </w:p>
    <w:p>
      <w:pPr>
        <w:spacing w:after="0" w:line="101" w:lineRule="exact"/>
        <w:rPr>
          <w:rFonts w:ascii="Times New Roman" w:cs="Times New Roman" w:eastAsia="Times New Roman" w:hAnsi="Times New Roman"/>
          <w:sz w:val="18"/>
          <w:szCs w:val="18"/>
          <w:color w:val="auto"/>
        </w:rPr>
      </w:pPr>
    </w:p>
    <w:p>
      <w:pPr>
        <w:ind w:left="580" w:hanging="411"/>
        <w:spacing w:after="0"/>
        <w:tabs>
          <w:tab w:leader="none" w:pos="5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120"/>
          </w:cols>
          <w:pgMar w:left="1440" w:top="1412" w:right="339" w:bottom="1440" w:gutter="0" w:footer="0" w:header="0"/>
        </w:sectPr>
      </w:pPr>
    </w:p>
    <w:bookmarkStart w:id="21" w:name="page22"/>
    <w:bookmarkEnd w:id="21"/>
    <w:p>
      <w:pPr>
        <w:ind w:right="20"/>
        <w:spacing w:after="0" w:line="283" w:lineRule="auto"/>
        <w:rPr>
          <w:sz w:val="20"/>
          <w:szCs w:val="20"/>
          <w:color w:val="auto"/>
        </w:rPr>
      </w:pPr>
      <w:r>
        <w:rPr>
          <w:rFonts w:ascii="Times New Roman" w:cs="Times New Roman" w:eastAsia="Times New Roman" w:hAnsi="Times New Roman"/>
          <w:sz w:val="20"/>
          <w:szCs w:val="20"/>
          <w:color w:val="auto"/>
        </w:rPr>
        <w:t>Notwithstanding the foregoing definition, to the extent that any Award constitutes a “nonqualified deferred compensation plan” as defined by Section 409A of the Code and if that Award provides for a change in the timing or form (lump sum or installments) of payment upon a Change in Control, or to the extent that which the payment date of an Award is determined solely with reference to a Change in Control, no Change in Control shall be deemed to have occurred upon an event described in this Section 10(a) unless the event would also constitute a change in ownership or effective control of, or a change in the ownership of a substantial portion of the assets of, the Company under Section 409A of the Code.</w:t>
      </w:r>
    </w:p>
    <w:p>
      <w:pPr>
        <w:spacing w:after="0" w:line="123" w:lineRule="exact"/>
        <w:rPr>
          <w:sz w:val="20"/>
          <w:szCs w:val="20"/>
          <w:color w:val="auto"/>
        </w:rPr>
      </w:pPr>
    </w:p>
    <w:p>
      <w:pPr>
        <w:ind w:right="60" w:firstLine="648"/>
        <w:spacing w:after="0" w:line="284" w:lineRule="auto"/>
        <w:tabs>
          <w:tab w:leader="none" w:pos="101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of Change in Control. Unless otherwise provided in the applicable Award Agreement, subject to Sections 3(c), and 14(k) and notwithstanding any other provision of this Plan to the contrary, upon a Participant’s Termination of Employment during the two-year period following a Change in Control by the Company, other than for Cause or Disability, or by the Participant for Good Reason:</w:t>
      </w:r>
    </w:p>
    <w:p>
      <w:pPr>
        <w:spacing w:after="0" w:line="105" w:lineRule="exact"/>
        <w:rPr>
          <w:rFonts w:ascii="Times New Roman" w:cs="Times New Roman" w:eastAsia="Times New Roman" w:hAnsi="Times New Roman"/>
          <w:sz w:val="20"/>
          <w:szCs w:val="20"/>
          <w:color w:val="auto"/>
        </w:rPr>
      </w:pPr>
    </w:p>
    <w:p>
      <w:pPr>
        <w:ind w:left="640" w:firstLine="649"/>
        <w:spacing w:after="0" w:line="304" w:lineRule="auto"/>
        <w:tabs>
          <w:tab w:leader="none" w:pos="16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and Stock Appreciation Rights outstanding as of such Termination of Employment that were outstanding as of the date of such Change in Control shall be fully exercisable and vested and shall remain exercisable until the later of (A) the last date on which such Option or Stock Appreciation Right would be exercisable in the absence of this Section 10(b) and (B) the earlier of</w:t>
      </w:r>
    </w:p>
    <w:p>
      <w:pPr>
        <w:spacing w:after="0" w:line="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 the first anniversary of such Change in Control and (2) expiration of the Term of such Option or Stock Appreciation Right;</w:t>
      </w:r>
    </w:p>
    <w:p>
      <w:pPr>
        <w:spacing w:after="0" w:line="170" w:lineRule="exact"/>
        <w:rPr>
          <w:rFonts w:ascii="Times New Roman" w:cs="Times New Roman" w:eastAsia="Times New Roman" w:hAnsi="Times New Roman"/>
          <w:sz w:val="18"/>
          <w:szCs w:val="18"/>
          <w:color w:val="auto"/>
        </w:rPr>
      </w:pPr>
    </w:p>
    <w:p>
      <w:pPr>
        <w:ind w:left="640" w:right="580" w:firstLine="649"/>
        <w:spacing w:after="0" w:line="304" w:lineRule="auto"/>
        <w:tabs>
          <w:tab w:leader="none" w:pos="166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Restricted Stock outstanding as of such Termination of Employment that was outstanding as of the date of such Change in Control shall become free of all restrictions and become fully vested and transferable; and</w:t>
      </w:r>
    </w:p>
    <w:p>
      <w:pPr>
        <w:spacing w:after="0" w:line="85" w:lineRule="exact"/>
        <w:rPr>
          <w:rFonts w:ascii="Times New Roman" w:cs="Times New Roman" w:eastAsia="Times New Roman" w:hAnsi="Times New Roman"/>
          <w:sz w:val="20"/>
          <w:szCs w:val="20"/>
          <w:color w:val="auto"/>
        </w:rPr>
      </w:pPr>
    </w:p>
    <w:p>
      <w:pPr>
        <w:ind w:left="640" w:right="80" w:firstLine="649"/>
        <w:spacing w:after="0" w:line="282" w:lineRule="auto"/>
        <w:tabs>
          <w:tab w:leader="none" w:pos="172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Restricted Stock Units outstanding as of such Termination of Employment that were outstanding as of the date of such Change in Control shall be considered to be earned and payable in full, and any restrictions shall lapse and such Restricted Stock Units shall be settled as promptly as is practicable (but in no event later than March 15th of the calendar year following the end of the calendar year in which the Restricted Stock Units vest).</w:t>
      </w:r>
    </w:p>
    <w:p>
      <w:pPr>
        <w:spacing w:after="0" w:line="10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For the avoidance of doubt, the treatment in this Section 10(b) (including the requirement that the Participant experience a Termination of Employment by the Company other than for Cause or Disability or by the Participant for Good Reason during the two-year period following a Change in Control) shall apply to Awards that are subject to the attainment of Performance Goals and an Award will be considered fully vested or fully earned if the level of attainment is at greater of actual or target level, unless otherwise provided in an Individual Agreement or Award Agreement.</w:t>
      </w:r>
    </w:p>
    <w:p>
      <w:pPr>
        <w:spacing w:after="0" w:line="110" w:lineRule="exact"/>
        <w:rPr>
          <w:sz w:val="20"/>
          <w:szCs w:val="20"/>
          <w:color w:val="auto"/>
        </w:rPr>
      </w:pPr>
    </w:p>
    <w:p>
      <w:pPr>
        <w:ind w:right="80" w:firstLine="648"/>
        <w:spacing w:after="0" w:line="281" w:lineRule="auto"/>
        <w:tabs>
          <w:tab w:leader="none" w:pos="100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10, “Good Reason” 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 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1412" w:right="359" w:bottom="1440" w:gutter="0" w:footer="0" w:header="0"/>
        </w:sectPr>
      </w:pPr>
    </w:p>
    <w:bookmarkStart w:id="22" w:name="page23"/>
    <w:bookmarkEnd w:id="22"/>
    <w:p>
      <w:pPr>
        <w:ind w:right="40"/>
        <w:spacing w:after="0" w:line="278" w:lineRule="auto"/>
        <w:rPr>
          <w:sz w:val="20"/>
          <w:szCs w:val="20"/>
          <w:color w:val="auto"/>
        </w:rPr>
      </w:pPr>
      <w:r>
        <w:rPr>
          <w:rFonts w:ascii="Times New Roman" w:cs="Times New Roman" w:eastAsia="Times New Roman" w:hAnsi="Times New Roman"/>
          <w:sz w:val="20"/>
          <w:szCs w:val="20"/>
          <w:color w:val="auto"/>
        </w:rPr>
        <w:t>demonstrable adverse change in the nature and scope of the Participant’s duties from those in effect immediately prior to the Change in Control.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“Cure Period”) during which it may remedy the condition. In the event that the Company fails to remedy the condition constituting Good Reason during the Cure Period, the Participant must terminate employment or service, if at all, within 90 days following the Cure Period for such Termination of Employment to constitute a Termination of Employment for Good Reason.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11.  Section 16(b)</w:t>
      </w:r>
    </w:p>
    <w:p>
      <w:pPr>
        <w:spacing w:after="0" w:line="175" w:lineRule="exact"/>
        <w:rPr>
          <w:sz w:val="20"/>
          <w:szCs w:val="20"/>
          <w:color w:val="auto"/>
        </w:rPr>
      </w:pPr>
    </w:p>
    <w:p>
      <w:pPr>
        <w:ind w:right="160" w:firstLine="641"/>
        <w:spacing w:after="0" w:line="281" w:lineRule="auto"/>
        <w:rPr>
          <w:sz w:val="20"/>
          <w:szCs w:val="20"/>
          <w:color w:val="auto"/>
        </w:rPr>
      </w:pPr>
      <w:r>
        <w:rPr>
          <w:rFonts w:ascii="Times New Roman" w:cs="Times New Roman" w:eastAsia="Times New Roman" w:hAnsi="Times New Roman"/>
          <w:sz w:val="20"/>
          <w:szCs w:val="20"/>
          <w:color w:val="auto"/>
        </w:rPr>
        <w:t>The provisions of this Plan are intended to ensure that no transaction under this Plan is subject to (and all such transactions will be exempt from) the short-swing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  Term; Amendment and Termination</w:t>
      </w:r>
    </w:p>
    <w:p>
      <w:pPr>
        <w:spacing w:after="0" w:line="188" w:lineRule="exact"/>
        <w:rPr>
          <w:sz w:val="20"/>
          <w:szCs w:val="20"/>
          <w:color w:val="auto"/>
        </w:rPr>
      </w:pPr>
    </w:p>
    <w:p>
      <w:pPr>
        <w:ind w:right="200" w:firstLine="648"/>
        <w:spacing w:after="0" w:line="315" w:lineRule="auto"/>
        <w:tabs>
          <w:tab w:leader="none" w:pos="10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This Plan originally became effective as of September 29, 2017 (the “Effective Date”). This Plan was amended and restated effective June 12, 2024 (the “2024 Restatement Effective Date”). This Plan, as further amended and restated, will become effective upon the approval by the Company’s stockholders at the Company’s 2026 annual meeting of stockholders (the “2026 Restatement Effective Date”), which shall be considered the date of its adoption for purposes of Treasury Regulation §1.422-2(b)(2)(i). If the Company’s stockholders fail to approve this further amended and restated Plan by December 31, 2026, the further restatement will not take effect.</w:t>
      </w:r>
    </w:p>
    <w:p>
      <w:pPr>
        <w:spacing w:after="0" w:line="84" w:lineRule="exact"/>
        <w:rPr>
          <w:rFonts w:ascii="Times New Roman" w:cs="Times New Roman" w:eastAsia="Times New Roman" w:hAnsi="Times New Roman"/>
          <w:sz w:val="18"/>
          <w:szCs w:val="18"/>
          <w:color w:val="auto"/>
        </w:rPr>
      </w:pPr>
    </w:p>
    <w:p>
      <w:pPr>
        <w:ind w:right="120" w:firstLine="648"/>
        <w:spacing w:after="0" w:line="304" w:lineRule="auto"/>
        <w:tabs>
          <w:tab w:leader="none" w:pos="101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This Plan shall terminate on the tenth anniversary of the 2026 Restatement Effective Date. Awards outstanding as of such date shall not be affected or impaired by the termination of this Plan.</w:t>
      </w:r>
    </w:p>
    <w:p>
      <w:pPr>
        <w:spacing w:after="0" w:line="85" w:lineRule="exact"/>
        <w:rPr>
          <w:rFonts w:ascii="Times New Roman" w:cs="Times New Roman" w:eastAsia="Times New Roman" w:hAnsi="Times New Roman"/>
          <w:sz w:val="20"/>
          <w:szCs w:val="20"/>
          <w:color w:val="auto"/>
        </w:rPr>
      </w:pPr>
    </w:p>
    <w:p>
      <w:pPr>
        <w:ind w:right="140" w:firstLine="648"/>
        <w:spacing w:after="0" w:line="281" w:lineRule="auto"/>
        <w:tabs>
          <w:tab w:leader="none" w:pos="99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of Plan. The Board may amend, alter, or discontinue this Plan, but no amendment, alteration, or discontinuation shall be made that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amendment shall be made without the approval of the Company’s stockholders to the extent such approval is required by applicable law or the listing standards of the Applicable Exchange.</w:t>
      </w:r>
    </w:p>
    <w:p>
      <w:pPr>
        <w:spacing w:after="0" w:line="109" w:lineRule="exact"/>
        <w:rPr>
          <w:rFonts w:ascii="Times New Roman" w:cs="Times New Roman" w:eastAsia="Times New Roman" w:hAnsi="Times New Roman"/>
          <w:sz w:val="20"/>
          <w:szCs w:val="20"/>
          <w:color w:val="auto"/>
        </w:rPr>
      </w:pPr>
    </w:p>
    <w:p>
      <w:pPr>
        <w:jc w:val="both"/>
        <w:ind w:firstLine="648"/>
        <w:spacing w:after="0" w:line="337" w:lineRule="auto"/>
        <w:tabs>
          <w:tab w:leader="none" w:pos="10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Awards. Subject to Section 5(d), the Committee may unilaterally amend the terms of any Award theretofore granted, but no such amendment shall, without the Participant’s consent, materially impair the rights of any Participant with respect to an Award, except such an amendment made to cause this Plan or Award to comply with applicable law, stock exchange rules, or accounting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80"/>
          </w:cols>
          <w:pgMar w:left="320" w:top="1412"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Section 13.  Unfunded Status of Plan</w:t>
      </w:r>
    </w:p>
    <w:p>
      <w:pPr>
        <w:spacing w:after="0" w:line="175" w:lineRule="exact"/>
        <w:rPr>
          <w:sz w:val="20"/>
          <w:szCs w:val="20"/>
          <w:color w:val="auto"/>
        </w:rPr>
      </w:pPr>
    </w:p>
    <w:p>
      <w:pPr>
        <w:ind w:right="20" w:firstLine="641"/>
        <w:spacing w:after="0" w:line="282" w:lineRule="auto"/>
        <w:rPr>
          <w:sz w:val="20"/>
          <w:szCs w:val="20"/>
          <w:color w:val="auto"/>
        </w:rPr>
      </w:pPr>
      <w:r>
        <w:rPr>
          <w:rFonts w:ascii="Times New Roman" w:cs="Times New Roman" w:eastAsia="Times New Roman" w:hAnsi="Times New Roman"/>
          <w:sz w:val="20"/>
          <w:szCs w:val="20"/>
          <w:color w:val="auto"/>
        </w:rPr>
        <w:t>It is intended that this Plan constitute an “unfunded” plan. Solely to the extent permitted under Section 409A of the Code, the Committee may authorize the creation of trusts or other arrangements to meet the obligations created under this Plan to deliver Common Stock or make payments; provided, however, that the existence of such trusts or other arrangements is consistent with the “unfunded” status of this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  General Provisions</w:t>
      </w:r>
    </w:p>
    <w:p>
      <w:pPr>
        <w:spacing w:after="0" w:line="175" w:lineRule="exact"/>
        <w:rPr>
          <w:sz w:val="20"/>
          <w:szCs w:val="20"/>
          <w:color w:val="auto"/>
        </w:rPr>
      </w:pPr>
    </w:p>
    <w:p>
      <w:pPr>
        <w:ind w:firstLine="648"/>
        <w:spacing w:after="0" w:line="277" w:lineRule="auto"/>
        <w:tabs>
          <w:tab w:leader="none" w:pos="100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for Issuance.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that the Committee shall, in its absolute discretion upon the advice of counsel, deem necessary or advisable; and (iii) obtaining any other consent, approval, or permit from any state or federal governmental agency that the Committee shall, in its absolute discretion after receiving the advice of counsel, determines to be necessary or advisable.</w:t>
      </w:r>
    </w:p>
    <w:p>
      <w:pPr>
        <w:spacing w:after="0" w:line="110" w:lineRule="exact"/>
        <w:rPr>
          <w:rFonts w:ascii="Times New Roman" w:cs="Times New Roman" w:eastAsia="Times New Roman" w:hAnsi="Times New Roman"/>
          <w:sz w:val="20"/>
          <w:szCs w:val="20"/>
          <w:color w:val="auto"/>
        </w:rPr>
      </w:pPr>
    </w:p>
    <w:p>
      <w:pPr>
        <w:ind w:right="660" w:firstLine="648"/>
        <w:spacing w:after="0" w:line="304" w:lineRule="auto"/>
        <w:tabs>
          <w:tab w:leader="none" w:pos="100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Compensation Arrangements. Nothing contained in this Plan shall prevent the Company or any Subsidiary or Affiliate from adopting other or additional compensation arrangements for its employees.</w:t>
      </w:r>
    </w:p>
    <w:p>
      <w:pPr>
        <w:spacing w:after="0" w:line="85" w:lineRule="exact"/>
        <w:rPr>
          <w:rFonts w:ascii="Times New Roman" w:cs="Times New Roman" w:eastAsia="Times New Roman" w:hAnsi="Times New Roman"/>
          <w:sz w:val="20"/>
          <w:szCs w:val="20"/>
          <w:color w:val="auto"/>
        </w:rPr>
      </w:pPr>
    </w:p>
    <w:p>
      <w:pPr>
        <w:ind w:right="140" w:firstLine="648"/>
        <w:spacing w:after="0" w:line="329" w:lineRule="auto"/>
        <w:tabs>
          <w:tab w:leader="none" w:pos="10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Contract of Employment or Service. This Plan shall not constitute a contract of employment or service, and adoption of this Plan shall not confer upon any employee or service-provider any right to continued employment or service, nor shall it interfere in any way with the right of the Company or any Subsidiary or Affiliate to terminate the employment or service of any Participant at any time.</w:t>
      </w:r>
    </w:p>
    <w:p>
      <w:pPr>
        <w:spacing w:after="0" w:line="70" w:lineRule="exact"/>
        <w:rPr>
          <w:rFonts w:ascii="Times New Roman" w:cs="Times New Roman" w:eastAsia="Times New Roman" w:hAnsi="Times New Roman"/>
          <w:sz w:val="18"/>
          <w:szCs w:val="18"/>
          <w:color w:val="auto"/>
        </w:rPr>
      </w:pPr>
    </w:p>
    <w:p>
      <w:pPr>
        <w:ind w:right="40" w:firstLine="648"/>
        <w:spacing w:after="0" w:line="278" w:lineRule="auto"/>
        <w:tabs>
          <w:tab w:leader="none" w:pos="101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Taxes. No later than the date as of which an amount first becomes includible in the gross income of a Participant for federal, state, 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If determined by the Committee, withholding obligations may be satisfied with Common Stock, including Common Stock that is part of the Award that gives rise to the withholding requirement.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20"/>
          </w:cols>
          <w:pgMar w:left="320" w:top="1408" w:right="359" w:bottom="1440" w:gutter="0" w:footer="0" w:header="0"/>
        </w:sectPr>
      </w:pPr>
    </w:p>
    <w:bookmarkStart w:id="24" w:name="page25"/>
    <w:bookmarkEnd w:id="24"/>
    <w:p>
      <w:pPr>
        <w:ind w:left="-20" w:right="20" w:firstLine="648"/>
        <w:spacing w:after="0" w:line="276" w:lineRule="auto"/>
        <w:tabs>
          <w:tab w:leader="none" w:pos="103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and Dividend Equivalents. No dividends, dividend equivalents or distributions will be paid with respect to Shares subject to an Option or Stock Appreciation Right. Any dividends or distributions payable with respect to unvested Shares of Restricted Stock will be accumulated and will be subject to the same vesting terms, restrictions and risk of forfeiture as the Shares to which such dividends or distributions relate. In its discretion, the Committee may provide in an Award Agreement for a Restricted Stock Unit Award or Other Stock-Based Award that the Participant will be entitled to receive dividend equivalents, based on dividends actually declared and paid on outstanding Shares, on the units or other Share equivalents subject to the Restricted Stock Unit Award or Other Stock-Based Award, and such dividend equivalents will be accumulated and will be subject to the same vesting terms, restrictions and risk of forfeiture as the units or other Share equivalents to which such dividend equivalents relate. The additional terms of any such dividend equivalents will be as set forth in the applicable Award Agreement, including the time (which shall be no earlier than the vesting of the underlying Award)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shall be counted against, and replenish upon any subsequent forfeiture, the Plan’s share reserve as provided in Section 3.</w:t>
      </w:r>
    </w:p>
    <w:p>
      <w:pPr>
        <w:spacing w:after="0" w:line="115" w:lineRule="exact"/>
        <w:rPr>
          <w:rFonts w:ascii="Times New Roman" w:cs="Times New Roman" w:eastAsia="Times New Roman" w:hAnsi="Times New Roman"/>
          <w:sz w:val="20"/>
          <w:szCs w:val="20"/>
          <w:color w:val="auto"/>
        </w:rPr>
      </w:pPr>
    </w:p>
    <w:p>
      <w:pPr>
        <w:jc w:val="both"/>
        <w:ind w:left="-20" w:right="340" w:firstLine="648"/>
        <w:spacing w:after="0" w:line="284" w:lineRule="auto"/>
        <w:tabs>
          <w:tab w:leader="none" w:pos="96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Designation of Death Beneficiary. The Committee shall establish such procedures as it deems appropriate for a Participant to designate a beneficiary to whom any amounts payable in the event of such Participant’s death are to be paid or by whom any rights of such Participant, after such Participant’s death, may be exercised.</w:t>
      </w:r>
    </w:p>
    <w:p>
      <w:pPr>
        <w:spacing w:after="0" w:line="118" w:lineRule="exact"/>
        <w:rPr>
          <w:rFonts w:ascii="Times New Roman" w:cs="Times New Roman" w:eastAsia="Times New Roman" w:hAnsi="Times New Roman"/>
          <w:sz w:val="20"/>
          <w:szCs w:val="20"/>
          <w:color w:val="auto"/>
        </w:rPr>
      </w:pPr>
    </w:p>
    <w:p>
      <w:pPr>
        <w:ind w:left="-20" w:right="80" w:firstLine="648"/>
        <w:spacing w:after="0" w:line="278" w:lineRule="auto"/>
        <w:tabs>
          <w:tab w:leader="none" w:pos="9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Employees. In the case of a grant of an Award to any employee of a Subsidiary,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shall revert to the Company.</w:t>
      </w:r>
    </w:p>
    <w:p>
      <w:pPr>
        <w:spacing w:after="0" w:line="110" w:lineRule="exact"/>
        <w:rPr>
          <w:rFonts w:ascii="Times New Roman" w:cs="Times New Roman" w:eastAsia="Times New Roman" w:hAnsi="Times New Roman"/>
          <w:sz w:val="20"/>
          <w:szCs w:val="20"/>
          <w:color w:val="auto"/>
        </w:rPr>
      </w:pPr>
    </w:p>
    <w:p>
      <w:pPr>
        <w:ind w:left="-20" w:right="260" w:firstLine="648"/>
        <w:spacing w:after="0" w:line="291" w:lineRule="auto"/>
        <w:tabs>
          <w:tab w:leader="none" w:pos="9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and Interpretation. This Plan and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98" w:lineRule="exact"/>
        <w:rPr>
          <w:rFonts w:ascii="Times New Roman" w:cs="Times New Roman" w:eastAsia="Times New Roman" w:hAnsi="Times New Roman"/>
          <w:sz w:val="20"/>
          <w:szCs w:val="20"/>
          <w:color w:val="auto"/>
        </w:rPr>
      </w:pPr>
    </w:p>
    <w:p>
      <w:pPr>
        <w:ind w:left="-20" w:firstLine="648"/>
        <w:spacing w:after="0" w:line="276" w:lineRule="auto"/>
        <w:tabs>
          <w:tab w:leader="none" w:pos="95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Non-Transferability. Except as otherwise provided in Section 5(j) or as determined by the Committee, Awards under this Plan are not transferable except by will or by laws of descent and distribution, or in the case of any Award other than an Incentive Stock Option,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of 1933, as amended, and any successor thereto. In the event that an Award is transferred, the term “Participant” includes such transferee; provided, however, that the term “Termination of Employment” shall continue to refer to the Termination of Employment of the original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00"/>
          </w:cols>
          <w:pgMar w:left="340" w:top="1412" w:right="359" w:bottom="1440" w:gutter="0" w:footer="0" w:header="0"/>
        </w:sectPr>
      </w:pPr>
    </w:p>
    <w:bookmarkStart w:id="25" w:name="page26"/>
    <w:bookmarkEnd w:id="25"/>
    <w:p>
      <w:pPr>
        <w:ind w:firstLine="648"/>
        <w:spacing w:after="0" w:line="314" w:lineRule="auto"/>
        <w:tabs>
          <w:tab w:leader="none" w:pos="9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Employees and Foreign Law Considerations. The Committee may grant Awards to Eligible Individuals who are foreign nationals, who are located outside the United States,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or subplans as may be necessary or advisable to comply with such legal or regulatory provisions.</w:t>
      </w:r>
    </w:p>
    <w:p>
      <w:pPr>
        <w:spacing w:after="0" w:line="98" w:lineRule="exact"/>
        <w:rPr>
          <w:rFonts w:ascii="Times New Roman" w:cs="Times New Roman" w:eastAsia="Times New Roman" w:hAnsi="Times New Roman"/>
          <w:sz w:val="18"/>
          <w:szCs w:val="18"/>
          <w:color w:val="auto"/>
        </w:rPr>
      </w:pPr>
    </w:p>
    <w:p>
      <w:pPr>
        <w:ind w:firstLine="648"/>
        <w:spacing w:after="0" w:line="278" w:lineRule="auto"/>
        <w:tabs>
          <w:tab w:leader="none" w:pos="10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409A of the Code. The provisions of this Plan and the Awards granted hereunder are intended to be exempt from, or comply with, the requirements of Section 409A of the Code, and to the maximum extent permitted this Plan and the terms and conditions of all Awards shall be limited, construed and interpreted accordingly. Notwithstanding any other provision of this Plan to the contrary, with respect to any Award that constitutes a “nonqualified deferred compensation plan” as defined by Section 409A of the Code:</w:t>
      </w:r>
    </w:p>
    <w:p>
      <w:pPr>
        <w:spacing w:after="0" w:line="123" w:lineRule="exact"/>
        <w:rPr>
          <w:rFonts w:ascii="Times New Roman" w:cs="Times New Roman" w:eastAsia="Times New Roman" w:hAnsi="Times New Roman"/>
          <w:sz w:val="20"/>
          <w:szCs w:val="20"/>
          <w:color w:val="auto"/>
        </w:rPr>
      </w:pPr>
    </w:p>
    <w:p>
      <w:pPr>
        <w:ind w:left="640" w:right="60" w:firstLine="649"/>
        <w:spacing w:after="0" w:line="282" w:lineRule="auto"/>
        <w:tabs>
          <w:tab w:leader="none" w:pos="161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a Participant’s “separation from service” (as defined by Section 409A of the Code), the Participant is a “specified employee” (within the meaning of Section 409A of the Code), any payments (whether in cash, Shares, or other property) to be made with respect to the Award upon the Participant’s separation from service shall be delayed until the earlier of (A) the first day of the seventh month following the Participant’s separation from service and (B) the Participant’s death;</w:t>
      </w:r>
    </w:p>
    <w:p>
      <w:pPr>
        <w:spacing w:after="0" w:line="107" w:lineRule="exact"/>
        <w:rPr>
          <w:rFonts w:ascii="Times New Roman" w:cs="Times New Roman" w:eastAsia="Times New Roman" w:hAnsi="Times New Roman"/>
          <w:sz w:val="20"/>
          <w:szCs w:val="20"/>
          <w:color w:val="auto"/>
        </w:rPr>
      </w:pPr>
    </w:p>
    <w:p>
      <w:pPr>
        <w:ind w:left="1680" w:hanging="391"/>
        <w:spacing w:after="0"/>
        <w:tabs>
          <w:tab w:leader="none" w:pos="16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under any Award shall be treated as a separate payment for purposes of Section 409A of the Code; and</w:t>
      </w:r>
    </w:p>
    <w:p>
      <w:pPr>
        <w:spacing w:after="0" w:line="170" w:lineRule="exact"/>
        <w:rPr>
          <w:rFonts w:ascii="Times New Roman" w:cs="Times New Roman" w:eastAsia="Times New Roman" w:hAnsi="Times New Roman"/>
          <w:sz w:val="20"/>
          <w:szCs w:val="20"/>
          <w:color w:val="auto"/>
        </w:rPr>
      </w:pPr>
    </w:p>
    <w:p>
      <w:pPr>
        <w:ind w:left="1720" w:hanging="431"/>
        <w:spacing w:after="0"/>
        <w:tabs>
          <w:tab w:leader="none" w:pos="17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may a Participant, directly or indirectly, designate the calendar year of any payment to be made under any</w:t>
      </w:r>
    </w:p>
    <w:p>
      <w:pPr>
        <w:spacing w:after="0" w:line="37"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w:t>
      </w:r>
    </w:p>
    <w:p>
      <w:pPr>
        <w:spacing w:after="0" w:line="171" w:lineRule="exact"/>
        <w:rPr>
          <w:sz w:val="20"/>
          <w:szCs w:val="20"/>
          <w:color w:val="auto"/>
        </w:rPr>
      </w:pPr>
    </w:p>
    <w:p>
      <w:pPr>
        <w:ind w:right="80" w:firstLine="641"/>
        <w:spacing w:after="0" w:line="284" w:lineRule="auto"/>
        <w:rPr>
          <w:sz w:val="20"/>
          <w:szCs w:val="20"/>
          <w:color w:val="auto"/>
        </w:rPr>
      </w:pPr>
      <w:r>
        <w:rPr>
          <w:rFonts w:ascii="Times New Roman" w:cs="Times New Roman" w:eastAsia="Times New Roman" w:hAnsi="Times New Roman"/>
          <w:sz w:val="20"/>
          <w:szCs w:val="20"/>
          <w:color w:val="auto"/>
        </w:rPr>
        <w:t>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a Participant on account of non-compliance with Section 409A of the Code.</w:t>
      </w:r>
    </w:p>
    <w:p>
      <w:pPr>
        <w:spacing w:after="0" w:line="119" w:lineRule="exact"/>
        <w:rPr>
          <w:sz w:val="20"/>
          <w:szCs w:val="20"/>
          <w:color w:val="auto"/>
        </w:rPr>
      </w:pPr>
    </w:p>
    <w:p>
      <w:pPr>
        <w:ind w:right="80" w:firstLine="648"/>
        <w:spacing w:after="0" w:line="302" w:lineRule="auto"/>
        <w:tabs>
          <w:tab w:leader="none" w:pos="9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Plan Awards. Notwithstanding anything in this Plan to the contrary, to the extent that the terms of this Plan are inconsistent with the terms of a Prior Plan Award, the terms of the Prior Plan Award shall be governed by the applicable plan under which the Prior</w:t>
      </w:r>
    </w:p>
    <w:p>
      <w:pPr>
        <w:jc w:val="both"/>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Award was granted and the award agreement thereunder. Any reference to a “change in control,” “change of control,” or similar definition in an Award Agreement or the applicable plan for any Prior Plan Award shall be deemed to refer to a “change in control,” “change of control,” or similar transaction with respect to the Company (as successor to the originally referenced entity) for such Prior Plan Award.</w:t>
      </w:r>
    </w:p>
    <w:p>
      <w:pPr>
        <w:spacing w:after="0" w:line="83" w:lineRule="exact"/>
        <w:rPr>
          <w:rFonts w:ascii="Times New Roman" w:cs="Times New Roman" w:eastAsia="Times New Roman" w:hAnsi="Times New Roman"/>
          <w:sz w:val="18"/>
          <w:szCs w:val="18"/>
          <w:color w:val="auto"/>
        </w:rPr>
      </w:pPr>
    </w:p>
    <w:p>
      <w:pPr>
        <w:ind w:right="20" w:firstLine="648"/>
        <w:spacing w:after="0" w:line="329" w:lineRule="auto"/>
        <w:tabs>
          <w:tab w:leader="none" w:pos="10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Recovery Policy. Awards and any compensation associated therewith shall be subject to forfeiture, recovery by the Company or other action pursuant to any compensation recovery policy adopted by the Board or the Committee at any time, including without limitation in response to the requirements of Section 10D of the Exchange Act and any implementing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20"/>
          </w:cols>
          <w:pgMar w:left="320" w:top="1412"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or otherwise. Any Award Agreement will be unilaterally amended to comply with any such compensation recovery policy.</w:t>
      </w:r>
    </w:p>
    <w:p>
      <w:pPr>
        <w:sectPr>
          <w:pgSz w:w="11900" w:h="16838" w:orient="portrait"/>
          <w:cols w:equalWidth="0" w:num="1">
            <w:col w:w="10139"/>
          </w:cols>
          <w:pgMar w:left="320" w:top="14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139"/>
          </w:cols>
          <w:pgMar w:left="320" w:top="1412" w:right="1440" w:bottom="1440" w:gutter="0" w:footer="0" w:header="0"/>
          <w:type w:val="continuous"/>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697230</wp:posOffset>
            </wp:positionV>
            <wp:extent cx="1866265" cy="890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1866265" cy="89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3815 River Crossing Pkwy, Suite 360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46240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7" w:lineRule="exact"/>
        <w:rPr>
          <w:sz w:val="20"/>
          <w:szCs w:val="20"/>
          <w:color w:val="auto"/>
        </w:rPr>
      </w:pPr>
    </w:p>
    <w:p>
      <w:pPr>
        <w:ind w:right="200" w:firstLine="641"/>
        <w:spacing w:after="0" w:line="255" w:lineRule="auto"/>
        <w:rPr>
          <w:sz w:val="20"/>
          <w:szCs w:val="20"/>
          <w:color w:val="auto"/>
        </w:rPr>
      </w:pPr>
      <w:r>
        <w:rPr>
          <w:rFonts w:ascii="Times New Roman" w:cs="Times New Roman" w:eastAsia="Times New Roman" w:hAnsi="Times New Roman"/>
          <w:sz w:val="18"/>
          <w:szCs w:val="18"/>
          <w:color w:val="auto"/>
        </w:rPr>
        <w:t>We have acted as counsel to Angi Inc., a Delaware corporation (the “Company”), in connection with the preparation and filing with the Securities and Exchange Commission (the “Commission”) of the Company’s Registration Statement on Form S-8 (the “Registration Statement”) under the Securities Act of 1933, as amended (the “Securities Act”), registering the offer and sale of up to an additional 2,400,000 shares of Class A common stock, par value $0.001 per share, of the Company (the “Shares”), issuable by the Company pursuant to the Amended and Restated Angi Inc. 2017 Stock and Annual Incentive Plan (the “2017 Plan”).</w:t>
      </w:r>
    </w:p>
    <w:p>
      <w:pPr>
        <w:spacing w:after="0" w:line="210" w:lineRule="exact"/>
        <w:rPr>
          <w:sz w:val="20"/>
          <w:szCs w:val="20"/>
          <w:color w:val="auto"/>
        </w:rPr>
      </w:pPr>
    </w:p>
    <w:p>
      <w:pPr>
        <w:ind w:right="80" w:firstLine="641"/>
        <w:spacing w:after="0" w:line="252" w:lineRule="auto"/>
        <w:rPr>
          <w:sz w:val="20"/>
          <w:szCs w:val="20"/>
          <w:color w:val="auto"/>
        </w:rPr>
      </w:pPr>
      <w:r>
        <w:rPr>
          <w:rFonts w:ascii="Times New Roman" w:cs="Times New Roman" w:eastAsia="Times New Roman" w:hAnsi="Times New Roman"/>
          <w:sz w:val="18"/>
          <w:szCs w:val="18"/>
          <w:color w:val="auto"/>
        </w:rPr>
        <w:t>For purposes of this opinion letter, we have examined the 2017 Plan, the Registration Statement, the Amended and Restated Certificate of Incorporation of the Company, as amended and as currently in effect, the Amended and Restated Bylaws of the Company, as currently in effect, and the resolutions of the Company’s board of directors authorizing the issuance of the Shares. We have also examined a certificate of the Secretary of the Company dated as of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of officers and other representatives of the Company (including the Certificate), and of others, without any independent verification thereof.</w:t>
      </w:r>
    </w:p>
    <w:p>
      <w:pPr>
        <w:spacing w:after="0" w:line="212" w:lineRule="exact"/>
        <w:rPr>
          <w:sz w:val="20"/>
          <w:szCs w:val="20"/>
          <w:color w:val="auto"/>
        </w:rPr>
      </w:pPr>
    </w:p>
    <w:p>
      <w:pPr>
        <w:ind w:right="40" w:firstLine="641"/>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assumed: (i) the legal capacity of all natural persons; (ii) the genuineness of all signatures, including electronic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 without any independent verification or investigation thereof.</w:t>
      </w:r>
    </w:p>
    <w:p>
      <w:pPr>
        <w:spacing w:after="0" w:line="214" w:lineRule="exact"/>
        <w:rPr>
          <w:sz w:val="20"/>
          <w:szCs w:val="20"/>
          <w:color w:val="auto"/>
        </w:rPr>
      </w:pPr>
    </w:p>
    <w:p>
      <w:pPr>
        <w:ind w:right="40" w:firstLine="641"/>
        <w:spacing w:after="0" w:line="255" w:lineRule="auto"/>
        <w:rPr>
          <w:sz w:val="20"/>
          <w:szCs w:val="20"/>
          <w:color w:val="auto"/>
        </w:rPr>
      </w:pPr>
      <w:r>
        <w:rPr>
          <w:rFonts w:ascii="Times New Roman" w:cs="Times New Roman" w:eastAsia="Times New Roman" w:hAnsi="Times New Roman"/>
          <w:sz w:val="18"/>
          <w:szCs w:val="18"/>
          <w:color w:val="auto"/>
        </w:rPr>
        <w:t>Based upon and subject to the foregoing and the other qualifications, assumptions and limitations set forth herein, it is our opinion that all necessary corporate action on the part of the Company has been taken to authorize the issuance and sale of the Shares to be issued in accordance with the 2017 Plan and that, when the Shares are issued and sold as contemplated in the Registration Statement and the related prospectus and in accordance with the 2017 Plan and any applicable award agreement and, where applicable, the consideration for the Shares specified in the 2017 Plan and any applicable award agreement has been received by the Company, the Shares will be validly issued, fully paid and nonassessable.</w:t>
      </w:r>
    </w:p>
    <w:p>
      <w:pPr>
        <w:spacing w:after="0" w:line="210" w:lineRule="exact"/>
        <w:rPr>
          <w:sz w:val="20"/>
          <w:szCs w:val="20"/>
          <w:color w:val="auto"/>
        </w:rPr>
      </w:pPr>
    </w:p>
    <w:p>
      <w:pPr>
        <w:ind w:right="180" w:firstLine="641"/>
        <w:spacing w:after="0" w:line="277" w:lineRule="auto"/>
        <w:rPr>
          <w:sz w:val="20"/>
          <w:szCs w:val="20"/>
          <w:color w:val="auto"/>
        </w:rPr>
      </w:pPr>
      <w:r>
        <w:rPr>
          <w:rFonts w:ascii="Times New Roman" w:cs="Times New Roman" w:eastAsia="Times New Roman" w:hAnsi="Times New Roman"/>
          <w:sz w:val="18"/>
          <w:szCs w:val="18"/>
          <w:color w:val="auto"/>
        </w:rPr>
        <w:t>We express no opinion concerning the laws of any jurisdiction other than, subject to the limitations and assumptions contained herein, the General Corporation Law of the State of Delaware.</w:t>
      </w:r>
    </w:p>
    <w:p>
      <w:pPr>
        <w:sectPr>
          <w:pgSz w:w="11900" w:h="16838" w:orient="portrait"/>
          <w:cols w:equalWidth="0" w:num="1">
            <w:col w:w="11240"/>
          </w:cols>
          <w:pgMar w:left="320" w:top="117" w:right="339" w:bottom="1440" w:gutter="0" w:footer="0" w:header="0"/>
        </w:sectPr>
      </w:pPr>
    </w:p>
    <w:bookmarkStart w:id="28" w:name="page29"/>
    <w:bookmarkEnd w:id="28"/>
    <w:p>
      <w:pPr>
        <w:ind w:firstLine="641"/>
        <w:spacing w:after="0" w:line="262" w:lineRule="auto"/>
        <w:rPr>
          <w:sz w:val="20"/>
          <w:szCs w:val="20"/>
          <w:color w:val="auto"/>
        </w:rPr>
      </w:pPr>
      <w:r>
        <w:rPr>
          <w:rFonts w:ascii="Times New Roman" w:cs="Times New Roman" w:eastAsia="Times New Roman" w:hAnsi="Times New Roman"/>
          <w:sz w:val="18"/>
          <w:szCs w:val="18"/>
          <w:color w:val="auto"/>
        </w:rPr>
        <w:t>This opinion letter speaks only as of the date the Registration Statement becomes effective under the Securities Act, and we assume no obligation to revise or supplement this opinion letter thereafter. This opinion letter is limited to the specific issues addressed herein, and no opinion may be inferred or implied beyond that expressly stated herein.</w:t>
      </w:r>
    </w:p>
    <w:p>
      <w:pPr>
        <w:spacing w:after="0" w:line="204" w:lineRule="exact"/>
        <w:rPr>
          <w:sz w:val="20"/>
          <w:szCs w:val="20"/>
          <w:color w:val="auto"/>
        </w:rPr>
      </w:pPr>
    </w:p>
    <w:p>
      <w:pPr>
        <w:jc w:val="both"/>
        <w:ind w:right="260" w:firstLine="641"/>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/s/ Faegre Drinker Biddle &amp; Reath</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LLP</w:t>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FAEGRE DRINKER BIDDLE &amp;</w:t>
      </w:r>
    </w:p>
    <w:p>
      <w:pPr>
        <w:spacing w:after="0" w:line="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REATH LLP</w:t>
      </w:r>
    </w:p>
    <w:p>
      <w:pPr>
        <w:sectPr>
          <w:pgSz w:w="11900" w:h="16838" w:orient="portrait"/>
          <w:cols w:equalWidth="0" w:num="1">
            <w:col w:w="11200"/>
          </w:cols>
          <w:pgMar w:left="320" w:top="1404"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Angi Inc. 2017 Stock and Annual Incentive Plan of our reports dated February 20, 2026 with respect to the consolidated financial statements of Angi Inc. and subsidiaries and the effectiveness of internal control over financial reporting of Angi Inc. and subsidiaries included in its Annual Report (Form 10-K) for the year ended December 31, 2025, filed with the Securities and Exchange Commission.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lowerLetter"/>
      <w:start w:val="1"/>
    </w:lvl>
    <w:lvl w:ilvl="1">
      <w:lvlJc w:val="left"/>
      <w:lvlText w:val="(%2)"/>
      <w:numFmt w:val="lowerRoman"/>
      <w:start w:val="1"/>
    </w:lvl>
  </w:abstractNum>
  <w:abstractNum w:abstractNumId="3">
    <w:nsid w:val="431BD7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4">
    <w:nsid w:val="3F2DBA3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
    <w:nsid w:val="7C83E458"/>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6">
    <w:nsid w:val="257130A3"/>
    <w:multiLevelType w:val="hybridMultilevel"/>
    <w:lvl w:ilvl="0">
      <w:lvlJc w:val="left"/>
      <w:lvlText w:val="(%1)"/>
      <w:numFmt w:val="lowerLetter"/>
      <w:start w:val="1"/>
    </w:lvl>
    <w:lvl w:ilvl="1">
      <w:lvlJc w:val="left"/>
      <w:lvlText w:val="(%2)"/>
      <w:numFmt w:val="lowerRoman"/>
      <w:start w:val="1"/>
    </w:lvl>
  </w:abstractNum>
  <w:abstractNum w:abstractNumId="7">
    <w:nsid w:val="62BBD95A"/>
    <w:multiLevelType w:val="hybridMultilevel"/>
    <w:lvl w:ilvl="0">
      <w:lvlJc w:val="left"/>
      <w:lvlText w:val="(%1)"/>
      <w:numFmt w:val="lowerRoman"/>
      <w:start w:val="2"/>
    </w:lvl>
  </w:abstractNum>
  <w:abstractNum w:abstractNumId="8">
    <w:nsid w:val="436C6125"/>
    <w:multiLevelType w:val="hybridMultilevel"/>
    <w:lvl w:ilvl="0">
      <w:lvlJc w:val="left"/>
      <w:lvlText w:val="(%1)"/>
      <w:numFmt w:val="lowerLetter"/>
      <w:start w:val="4"/>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4"/>
    </w:lvl>
  </w:abstractNum>
  <w:abstractNum w:abstractNumId="11">
    <w:nsid w:val="721DA317"/>
    <w:multiLevelType w:val="hybridMultilevel"/>
    <w:lvl w:ilvl="0">
      <w:lvlJc w:val="left"/>
      <w:lvlText w:val="(%1)"/>
      <w:numFmt w:val="lowerLetter"/>
      <w:start w:val="6"/>
    </w:lvl>
    <w:lvl w:ilvl="1">
      <w:lvlJc w:val="left"/>
      <w:lvlText w:val="(%2)"/>
      <w:numFmt w:val="lowerRoman"/>
      <w:start w:val="1"/>
    </w:lvl>
  </w:abstractNum>
  <w:abstractNum w:abstractNumId="12">
    <w:nsid w:val="2443A858"/>
    <w:multiLevelType w:val="hybridMultilevel"/>
    <w:lvl w:ilvl="0">
      <w:lvlJc w:val="left"/>
      <w:lvlText w:val="%1"/>
      <w:numFmt w:val="lowerLetter"/>
      <w:start w:val="1"/>
    </w:lvl>
    <w:lvl w:ilvl="1">
      <w:lvlJc w:val="left"/>
      <w:lvlText w:val="(%2)"/>
      <w:numFmt w:val="lowerLetter"/>
      <w:start w:val="61"/>
    </w:lvl>
  </w:abstractNum>
  <w:abstractNum w:abstractNumId="13">
    <w:nsid w:val="2D1D5AE9"/>
    <w:multiLevelType w:val="hybridMultilevel"/>
    <w:lvl w:ilvl="0">
      <w:lvlJc w:val="left"/>
      <w:lvlText w:val="(%1)"/>
      <w:numFmt w:val="lowerLetter"/>
      <w:start w:val="8"/>
    </w:lvl>
    <w:lvl w:ilvl="1">
      <w:lvlJc w:val="left"/>
      <w:lvlText w:val="(%2)"/>
      <w:numFmt w:val="lowerLetter"/>
      <w:start w:val="9"/>
    </w:lvl>
  </w:abstractNum>
  <w:abstractNum w:abstractNumId="14">
    <w:nsid w:val="6763845E"/>
    <w:multiLevelType w:val="hybridMultilevel"/>
    <w:lvl w:ilvl="0">
      <w:lvlJc w:val="left"/>
      <w:lvlText w:val="%1"/>
      <w:numFmt w:val="upperLetter"/>
      <w:start w:val="1"/>
    </w:lvl>
    <w:lvl w:ilvl="1">
      <w:lvlJc w:val="left"/>
      <w:lvlText w:val="(%2)"/>
      <w:numFmt w:val="lowerRoman"/>
      <w:start w:val="2"/>
    </w:lvl>
  </w:abstractNum>
  <w:abstractNum w:abstractNumId="15">
    <w:nsid w:val="75A2A8D4"/>
    <w:multiLevelType w:val="hybridMultilevel"/>
    <w:lvl w:ilvl="0">
      <w:lvlJc w:val="left"/>
      <w:lvlText w:val="(%1)"/>
      <w:numFmt w:val="upperLetter"/>
      <w:start w:val="2"/>
    </w:lvl>
    <w:lvl w:ilvl="1">
      <w:lvlJc w:val="left"/>
      <w:lvlText w:val="(%2)"/>
      <w:numFmt w:val="lowerRoman"/>
      <w:start w:val="5"/>
    </w:lvl>
  </w:abstractNum>
  <w:abstractNum w:abstractNumId="16">
    <w:nsid w:val="8EDBDAB"/>
    <w:multiLevelType w:val="hybridMultilevel"/>
    <w:lvl w:ilvl="0">
      <w:lvlJc w:val="left"/>
      <w:lvlText w:val="(%1)"/>
      <w:numFmt w:val="lowerLetter"/>
      <w:start w:val="10"/>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4"/>
    </w:lvl>
  </w:abstractNum>
  <w:abstractNum w:abstractNumId="22">
    <w:nsid w:val="71F32454"/>
    <w:multiLevelType w:val="hybridMultilevel"/>
    <w:lvl w:ilvl="0">
      <w:lvlJc w:val="left"/>
      <w:lvlText w:val="(%1)"/>
      <w:numFmt w:val="lowerRoman"/>
      <w:start w:val="5"/>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lowerLetter"/>
      <w:start w:val="2"/>
    </w:lvl>
    <w:lvl w:ilvl="1">
      <w:lvlJc w:val="left"/>
      <w:lvlText w:val="(%2)"/>
      <w:numFmt w:val="lowerRoman"/>
      <w:start w:val="1"/>
    </w:lvl>
  </w:abstractNum>
  <w:abstractNum w:abstractNumId="26">
    <w:nsid w:val="3A95F874"/>
    <w:multiLevelType w:val="hybridMultilevel"/>
    <w:lvl w:ilvl="0">
      <w:lvlJc w:val="left"/>
      <w:lvlText w:val="(%1)"/>
      <w:numFmt w:val="lowerLetter"/>
      <w:start w:val="3"/>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5"/>
    </w:lvl>
  </w:abstractNum>
  <w:abstractNum w:abstractNumId="30">
    <w:nsid w:val="737B8DDC"/>
    <w:multiLevelType w:val="hybridMultilevel"/>
    <w:lvl w:ilvl="0">
      <w:lvlJc w:val="left"/>
      <w:lvlText w:val="(%1)"/>
      <w:numFmt w:val="lowerLetter"/>
      <w:start w:val="10"/>
    </w:lvl>
    <w:lvl w:ilvl="1">
      <w:lvlJc w:val="left"/>
      <w:lvlText w:val="(%2)"/>
      <w:numFmt w:val="lowerRoman"/>
      <w:start w:val="1"/>
    </w:lvl>
  </w:abstractNum>
  <w:abstractNum w:abstractNumId="31">
    <w:nsid w:val="6CEAF087"/>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jpeg"/><Relationship Id="rId12" Type="http://schemas.openxmlformats.org/officeDocument/2006/relationships/hyperlink" Target="https://www.sec.gov/Archives/edgar/data/1705110/000110465917060672/a17-22775_2s8.htm" TargetMode="External"/><Relationship Id="rId13" Type="http://schemas.openxmlformats.org/officeDocument/2006/relationships/hyperlink" Target="https://www.sec.gov/ix?doc=/Archives/edgar/data/0001705110/000170511026000011/angi-20251231.htm" TargetMode="External"/><Relationship Id="rId14" Type="http://schemas.openxmlformats.org/officeDocument/2006/relationships/hyperlink" Target="https://www.sec.gov/ix?doc=/Archives/edgar/data/0001705110/000110465926050416/tm261535-1_def14a.htm" TargetMode="External"/><Relationship Id="rId15" Type="http://schemas.openxmlformats.org/officeDocument/2006/relationships/hyperlink" Target="https://www.sec.gov/ix?doc=/Archives/edgar/data/0001705110/000170511026000044/angi-20260331.htm" TargetMode="External"/><Relationship Id="rId16" Type="http://schemas.openxmlformats.org/officeDocument/2006/relationships/hyperlink" Target="https://www.sec.gov/ix?doc=/Archives/edgar/data/0001705110/000170511026000042/angi-20260505.htm" TargetMode="External"/><Relationship Id="rId17" Type="http://schemas.openxmlformats.org/officeDocument/2006/relationships/hyperlink" Target="https://www.sec.gov/Archives/edgar/data/1705110/000170511026000011/angiex4112312025.htm" TargetMode="External"/><Relationship Id="rId18" Type="http://schemas.openxmlformats.org/officeDocument/2006/relationships/hyperlink" Target="https://www.sec.gov/Archives/edgar/data/1705110/000170511024000078/angiex316302024.htm" TargetMode="External"/><Relationship Id="rId19" Type="http://schemas.openxmlformats.org/officeDocument/2006/relationships/hyperlink" Target="https://www.sec.gov/Archives/edgar/data/1705110/000110465917060061/a17-22578_2ex3d1.htm" TargetMode="External"/><Relationship Id="rId20" Type="http://schemas.openxmlformats.org/officeDocument/2006/relationships/hyperlink" Target="https://www.sec.gov/Archives/edgar/data/1705110/000170511021000033/angihomeservicesinc-dexc.htm" TargetMode="External"/><Relationship Id="rId21" Type="http://schemas.openxmlformats.org/officeDocument/2006/relationships/hyperlink" Target="https://www.sec.gov/Archives/edgar/data/1705110/000110465924071774/tm2417196d1_ex3-1.htm" TargetMode="External"/><Relationship Id="rId22" Type="http://schemas.openxmlformats.org/officeDocument/2006/relationships/hyperlink" Target="https://www.sec.gov/Archives/edgar/data/1705110/000110465925027208/tm258609d2_ex3-1.htm" TargetMode="External"/><Relationship Id="rId23" Type="http://schemas.openxmlformats.org/officeDocument/2006/relationships/hyperlink" Target="https://www.sec.gov/Archives/edgar/data/1705110/000110465925030301/tm2511010d1_ex3-1.htm" TargetMode="External"/><Relationship Id="rId24" Type="http://schemas.openxmlformats.org/officeDocument/2006/relationships/hyperlink" Target="https://www.sec.gov/Archives/edgar/data/1705110/000170511026000044/angiex373312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2026-06-10T15:23:32Z</dcterms:created>
  <dcterms:modified xsi:type="dcterms:W3CDTF">2026-06-10T15:23:32Z</dcterms:modified>
</cp:coreProperties>
</file>