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3, 2026</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Angi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60"/>
          </w:cols>
          <w:pgMar w:left="320" w:top="1388" w:right="319" w:bottom="1440" w:gutter="0" w:footer="0" w:header="0"/>
        </w:sectPr>
      </w:pPr>
    </w:p>
    <w:p>
      <w:pPr>
        <w:spacing w:after="0" w:line="255"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001-38220</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82-1204801</w:t>
      </w:r>
    </w:p>
    <w:p>
      <w:pPr>
        <w:spacing w:after="0" w:line="92" w:lineRule="exact"/>
        <w:rPr>
          <w:sz w:val="24"/>
          <w:szCs w:val="24"/>
          <w:color w:val="auto"/>
        </w:rPr>
      </w:pPr>
    </w:p>
    <w:p>
      <w:pPr>
        <w:sectPr>
          <w:pgSz w:w="11900" w:h="16838" w:orient="portrait"/>
          <w:cols w:equalWidth="0" w:num="3">
            <w:col w:w="4500" w:space="720"/>
            <w:col w:w="2820" w:space="720"/>
            <w:col w:w="2500"/>
          </w:cols>
          <w:pgMar w:left="320" w:top="1388" w:right="31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660" w:space="720"/>
            <w:col w:w="2740"/>
          </w:cols>
          <w:pgMar w:left="320" w:top="1388" w:right="319" w:bottom="1440" w:gutter="0" w:footer="0" w:header="0"/>
          <w:type w:val="continuous"/>
        </w:sectPr>
      </w:pPr>
    </w:p>
    <w:p>
      <w:pPr>
        <w:spacing w:after="0" w:line="313"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3601 Walnut Street, Suite 700</w:t>
      </w:r>
    </w:p>
    <w:p>
      <w:pPr>
        <w:sectPr>
          <w:pgSz w:w="11900" w:h="16838" w:orient="portrait"/>
          <w:cols w:equalWidth="0" w:num="1">
            <w:col w:w="11260"/>
          </w:cols>
          <w:pgMar w:left="320" w:top="1388" w:right="319" w:bottom="1440" w:gutter="0" w:footer="0" w:header="0"/>
          <w:type w:val="continuous"/>
        </w:sectPr>
      </w:pPr>
    </w:p>
    <w:p>
      <w:pPr>
        <w:spacing w:after="0" w:line="7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Denver, CO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80205</w:t>
      </w:r>
    </w:p>
    <w:p>
      <w:pPr>
        <w:spacing w:after="0" w:line="92" w:lineRule="exact"/>
        <w:rPr>
          <w:sz w:val="24"/>
          <w:szCs w:val="24"/>
          <w:color w:val="auto"/>
        </w:rPr>
      </w:pPr>
    </w:p>
    <w:p>
      <w:pPr>
        <w:sectPr>
          <w:pgSz w:w="11900" w:h="16838" w:orient="portrait"/>
          <w:cols w:equalWidth="0" w:num="2">
            <w:col w:w="7800" w:space="720"/>
            <w:col w:w="2740"/>
          </w:cols>
          <w:pgMar w:left="320" w:top="1388" w:right="319" w:bottom="1440" w:gutter="0" w:footer="0" w:header="0"/>
          <w:type w:val="continuous"/>
        </w:sectPr>
      </w:pPr>
    </w:p>
    <w:p>
      <w:pPr>
        <w:jc w:val="center"/>
        <w:ind w:left="5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620" w:space="720"/>
            <w:col w:w="2920"/>
          </w:cols>
          <w:pgMar w:left="320" w:top="1388" w:right="319" w:bottom="1440" w:gutter="0" w:footer="0" w:header="0"/>
          <w:type w:val="continuous"/>
        </w:sectPr>
      </w:pPr>
    </w:p>
    <w:p>
      <w:pPr>
        <w:spacing w:after="0" w:line="251"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963-7200</w:t>
      </w:r>
    </w:p>
    <w:p>
      <w:pPr>
        <w:spacing w:after="0" w:line="12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87"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8"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0"/>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3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$0.001</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ANGI</w:t>
            </w:r>
          </w:p>
        </w:tc>
        <w:tc>
          <w:tcPr>
            <w:tcW w:w="4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83"/>
        </w:trPr>
        <w:tc>
          <w:tcPr>
            <w:tcW w:w="428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7"/>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r>
    </w:tbl>
    <w:p>
      <w:pPr>
        <w:spacing w:after="0" w:line="400" w:lineRule="exact"/>
        <w:rPr>
          <w:sz w:val="24"/>
          <w:szCs w:val="24"/>
          <w:color w:val="auto"/>
        </w:rPr>
      </w:pPr>
    </w:p>
    <w:p>
      <w:pPr>
        <w:jc w:val="both"/>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88" w:right="31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00" w:lineRule="exact"/>
        <w:rPr>
          <w:sz w:val="20"/>
          <w:szCs w:val="20"/>
          <w:color w:val="auto"/>
        </w:rPr>
      </w:pPr>
    </w:p>
    <w:p>
      <w:pPr>
        <w:spacing w:after="0" w:line="27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 xml:space="preserve">On November 3, 2026, Angi Inc. (the “Company” or “Angi”) announced that it had released its results for the quarter ended September 30, 2026. The full text of the related press release, which is posted on the "Investor Relations" section of the Company's website at </w:t>
      </w:r>
      <w:r>
        <w:rPr>
          <w:rFonts w:ascii="Times New Roman" w:cs="Times New Roman" w:eastAsia="Times New Roman" w:hAnsi="Times New Roman"/>
          <w:sz w:val="18"/>
          <w:szCs w:val="18"/>
          <w:i w:val="1"/>
          <w:iCs w:val="1"/>
          <w:color w:val="auto"/>
        </w:rPr>
        <w:t xml:space="preserve">https://ir.angi.com/quarterly-earnings </w:t>
      </w:r>
      <w:r>
        <w:rPr>
          <w:rFonts w:ascii="Times New Roman" w:cs="Times New Roman" w:eastAsia="Times New Roman" w:hAnsi="Times New Roman"/>
          <w:sz w:val="18"/>
          <w:szCs w:val="18"/>
          <w:color w:val="auto"/>
        </w:rPr>
        <w:t>and appears in Exhibit 99.1 hereto, is incorporated herein by reference.</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Exhibit 99.1 is being furnished under both Item 2.02 "Results of Operations and Financial Condition" and Item 7.01 "Regulation FD Disclosure."</w:t>
      </w:r>
    </w:p>
    <w:p>
      <w:pPr>
        <w:spacing w:after="0" w:line="11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including Exhibit 99.1 furnished herewith, shall not be deemed “filed” for purposes of Section 18 of the Securities Exchange Act of 1934, as amended (the “Exchange Act”), or otherwise subject to the liabilities of such section and shall not be deemed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40"/>
          </w:cols>
          <w:pgMar w:left="320" w:top="1251" w:right="339" w:bottom="1440" w:gutter="0" w:footer="0" w:header="0"/>
        </w:sectPr>
      </w:pPr>
    </w:p>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center"/>
        <w:ind w:right="468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52705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4960" w:space="720"/>
            <w:col w:w="5560"/>
          </w:cols>
          <w:pgMar w:left="320" w:top="1251"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99.1 Press Release of Angi Inc., dated November 3, 2026.</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104 Cover Page Interactive Data File (embedded within the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886460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8" w:lineRule="exact"/>
        <w:rPr>
          <w:sz w:val="20"/>
          <w:szCs w:val="20"/>
          <w:color w:val="auto"/>
        </w:rPr>
      </w:pPr>
    </w:p>
    <w:tbl>
      <w:tblPr>
        <w:tblLayout w:type="fixed"/>
        <w:tblInd w:w="620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ANGI INC.</w:t>
            </w:r>
          </w:p>
        </w:tc>
        <w:tc>
          <w:tcPr>
            <w:tcW w:w="3260" w:type="dxa"/>
            <w:vAlign w:val="bottom"/>
          </w:tcPr>
          <w:p>
            <w:pPr>
              <w:spacing w:after="0"/>
              <w:rPr>
                <w:sz w:val="20"/>
                <w:szCs w:val="20"/>
                <w:color w:val="auto"/>
              </w:rPr>
            </w:pPr>
          </w:p>
        </w:tc>
      </w:tr>
      <w:tr>
        <w:trPr>
          <w:trHeight w:val="53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Shannon M. Shaw</w:t>
            </w:r>
          </w:p>
        </w:tc>
      </w:tr>
      <w:tr>
        <w:trPr>
          <w:trHeight w:val="24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Shannon M. Shaw</w:t>
            </w:r>
          </w:p>
        </w:tc>
      </w:tr>
      <w:tr>
        <w:trPr>
          <w:trHeight w:val="257"/>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3, 2026</w:t>
      </w:r>
    </w:p>
    <w:p>
      <w:pPr>
        <w:sectPr>
          <w:pgSz w:w="11900" w:h="16838" w:orient="portrait"/>
          <w:cols w:equalWidth="0" w:num="1">
            <w:col w:w="11240"/>
          </w:cols>
          <w:pgMar w:left="320" w:top="125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Page 1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702945</wp:posOffset>
            </wp:positionV>
            <wp:extent cx="1148715" cy="771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871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ANGI REPORTS Q3 2026</w:t>
      </w:r>
    </w:p>
    <w:p>
      <w:pPr>
        <w:spacing w:after="0" w:line="200" w:lineRule="exact"/>
        <w:rPr>
          <w:sz w:val="20"/>
          <w:szCs w:val="20"/>
          <w:color w:val="auto"/>
        </w:rPr>
      </w:pPr>
    </w:p>
    <w:p>
      <w:pPr>
        <w:spacing w:after="0" w:line="250"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9"/>
          <w:szCs w:val="19"/>
          <w:color w:val="auto"/>
        </w:rPr>
        <w:t xml:space="preserve">DENVER — November 3, 2026 — Angi Inc. (NASDAQ: ANGI) released its third quarter results today on the Investor Relations section of Angi Inc.’s website at </w:t>
      </w:r>
      <w:r>
        <w:rPr>
          <w:rFonts w:ascii="Times New Roman" w:cs="Times New Roman" w:eastAsia="Times New Roman" w:hAnsi="Times New Roman"/>
          <w:sz w:val="19"/>
          <w:szCs w:val="19"/>
          <w:u w:val="single" w:color="auto"/>
          <w:color w:val="0000FF"/>
        </w:rPr>
        <w:t>ir.angi.com</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“Angi has one of the most recognized brands in home services, a large network of Pros and an enormous market opportunity,” said Mike Steib, Chief Executive Officer of Angi. “My first 45 days have reinforced my conviction in the potential of this business. We're building on the work already underway to simplify how we operate, move faster and develop better products using technology and AI. I see significant opportunities to improve profitability and cash flow in the near term while building a stronger company positioned for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160020</wp:posOffset>
            </wp:positionV>
            <wp:extent cx="5615305" cy="1645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15305" cy="1645920"/>
                    </a:xfrm>
                    <a:prstGeom prst="rect">
                      <a:avLst/>
                    </a:prstGeom>
                    <a:noFill/>
                  </pic:spPr>
                </pic:pic>
              </a:graphicData>
            </a:graphic>
          </wp:anchor>
        </w:drawing>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ANGI INC. SUMMARY RESULTS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p>
      <w:pPr>
        <w:spacing w:after="0" w:line="75" w:lineRule="exact"/>
        <w:rPr>
          <w:sz w:val="20"/>
          <w:szCs w:val="20"/>
          <w:color w:val="auto"/>
        </w:rPr>
      </w:pPr>
    </w:p>
    <w:tbl>
      <w:tblPr>
        <w:tblLayout w:type="fixed"/>
        <w:tblInd w:w="120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32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 w:type="dxa"/>
            <w:vAlign w:val="bottom"/>
          </w:tcPr>
          <w:p>
            <w:pPr>
              <w:spacing w:after="0"/>
              <w:rPr>
                <w:sz w:val="20"/>
                <w:szCs w:val="20"/>
                <w:color w:val="auto"/>
              </w:rPr>
            </w:pPr>
          </w:p>
        </w:tc>
      </w:tr>
      <w:tr>
        <w:trPr>
          <w:trHeight w:val="27"/>
        </w:trPr>
        <w:tc>
          <w:tcPr>
            <w:tcW w:w="3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4"/>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r>
      <w:tr>
        <w:trPr>
          <w:trHeight w:val="243"/>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1"/>
                <w:szCs w:val="21"/>
                <w:color w:val="auto"/>
              </w:rPr>
            </w:pPr>
          </w:p>
        </w:tc>
      </w:tr>
      <w:tr>
        <w:trPr>
          <w:trHeight w:val="243"/>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21"/>
                <w:szCs w:val="21"/>
                <w:color w:val="auto"/>
              </w:rPr>
            </w:pPr>
          </w:p>
        </w:tc>
      </w:tr>
      <w:tr>
        <w:trPr>
          <w:trHeight w:val="27"/>
        </w:trPr>
        <w:tc>
          <w:tcPr>
            <w:tcW w:w="3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6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 xml:space="preserve">See reconciliations of GAAP to non-GAAP measures beginning on page </w:t>
      </w:r>
      <w:r>
        <w:rPr>
          <w:rFonts w:ascii="Times New Roman" w:cs="Times New Roman" w:eastAsia="Times New Roman" w:hAnsi="Times New Roman"/>
          <w:sz w:val="18"/>
          <w:szCs w:val="18"/>
          <w:i w:val="1"/>
          <w:iCs w:val="1"/>
          <w:u w:val="single" w:color="auto"/>
          <w:color w:val="0000FF"/>
        </w:rPr>
        <w:t>10</w:t>
      </w:r>
      <w:r>
        <w:rPr>
          <w:rFonts w:ascii="Times New Roman" w:cs="Times New Roman" w:eastAsia="Times New Roman" w:hAnsi="Times New Roman"/>
          <w:sz w:val="18"/>
          <w:szCs w:val="18"/>
          <w:i w:val="1"/>
          <w:iCs w:val="1"/>
          <w:color w:val="auto"/>
        </w:rPr>
        <w: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Q3 2026 PERFORMANCE AND UPDATES</w:t>
      </w:r>
    </w:p>
    <w:p>
      <w:pPr>
        <w:spacing w:after="0" w:line="224" w:lineRule="exact"/>
        <w:rPr>
          <w:sz w:val="20"/>
          <w:szCs w:val="20"/>
          <w:color w:val="auto"/>
        </w:rPr>
      </w:pPr>
    </w:p>
    <w:p>
      <w:pPr>
        <w:jc w:val="both"/>
        <w:ind w:left="340" w:hanging="332"/>
        <w:spacing w:after="0" w:line="25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(9)% year-over-year, an improvement from (11)% in Q2 2026, as higher monetization partially offset lower Lead volume. International Revenue decreased by (5)% year-over-year due primarily to a decrease in the number of active Pros as well as unfavorable foreign currency exchange rate movements.</w:t>
      </w:r>
    </w:p>
    <w:p>
      <w:pPr>
        <w:spacing w:after="0" w:line="2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Lead increased 10% year-over-year in Q3 2026, and average monthly revenue per active Pro increased 6% year-over-year, as the Pro mix continued to shift away from heavily discounted legacy advertising product toward Large Pros, where revenue grew over 20%.</w:t>
      </w:r>
    </w:p>
    <w:p>
      <w:pPr>
        <w:spacing w:after="0" w:line="189" w:lineRule="exact"/>
        <w:rPr>
          <w:rFonts w:ascii="Times New Roman" w:cs="Times New Roman" w:eastAsia="Times New Roman" w:hAnsi="Times New Roman"/>
          <w:sz w:val="18"/>
          <w:szCs w:val="18"/>
          <w:color w:val="auto"/>
        </w:rPr>
      </w:pPr>
    </w:p>
    <w:p>
      <w:pPr>
        <w:ind w:left="340" w:right="80" w:hanging="332"/>
        <w:spacing w:after="0"/>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$15.5 million, down from $21.8 million in Q3 2025. The decrease reflects the decline in revenue and higher depreciation, including accelerated depreciation on capitalized software related to the planned retirement of our legacy technology platform, which more than offset lower fixed expense, including reduced product development costs following the Q1 2026 reorganization, and lower variable expense. Year-to-date operating loss was $(227.7) million, reflecting non-cash goodwill and intangible asset impairments of $235.2 million recorded in Q2 2026.</w:t>
      </w:r>
    </w:p>
    <w:p>
      <w:pPr>
        <w:spacing w:after="0" w:line="211" w:lineRule="exact"/>
        <w:rPr>
          <w:rFonts w:ascii="Times New Roman" w:cs="Times New Roman" w:eastAsia="Times New Roman" w:hAnsi="Times New Roman"/>
          <w:sz w:val="18"/>
          <w:szCs w:val="18"/>
          <w:color w:val="auto"/>
        </w:rPr>
      </w:pPr>
    </w:p>
    <w:p>
      <w:pPr>
        <w:jc w:val="both"/>
        <w:ind w:left="340" w:right="20" w:hanging="332"/>
        <w:spacing w:after="0" w:line="25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$42.2 million, up from $39.7 million in Q3 2025. The increase reflects lower fixed expense, including reduced product development costs following the Q1 2026 reorganization, and lower variable expense, which more than offset the decline in revenue. Year-to-date Adjusted EBITDA was $93.3 million.</w:t>
      </w:r>
    </w:p>
    <w:p>
      <w:pPr>
        <w:spacing w:after="0" w:line="20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 2026, we announced a reduction of our global workforce by approximately 300 roles, mostly in middle management and support functions, to increase focus and organizational velocity. The Company expects these actions to generate approximately between $50.0 million and $60.0 million of annual run-rate savings in</w:t>
      </w:r>
    </w:p>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Page 2 of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operating expenses and capital expenditures, some of which may be re-invested. The Company expects to incur approximately $18.0 million to $30.0 million of restructuring charges, primarily in the fourth quarter of 2026 and the first half of 2027.</w:t>
      </w:r>
    </w:p>
    <w:p>
      <w:pPr>
        <w:spacing w:after="0" w:line="108" w:lineRule="exact"/>
        <w:rPr>
          <w:sz w:val="20"/>
          <w:szCs w:val="20"/>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2026, the Company recorded an income tax provision of $11.7 million. The effective income tax rate was higher than the U.S. federal statutory rate of 21% primarily due to the effect of cross-border tax law and non-deductible share-based compensation, partially offset by research and development tax credits.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METRICS</w:t>
      </w:r>
    </w:p>
    <w:p>
      <w:pPr>
        <w:spacing w:after="0" w:line="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Definitions of our key metrics are on page 14. For further detail, please refer to the "Angi Q3 2026 Metrics Supplement" document available at </w:t>
      </w:r>
      <w:r>
        <w:rPr>
          <w:rFonts w:ascii="Times New Roman" w:cs="Times New Roman" w:eastAsia="Times New Roman" w:hAnsi="Times New Roman"/>
          <w:sz w:val="18"/>
          <w:szCs w:val="18"/>
          <w:color w:val="0000FF"/>
        </w:rPr>
        <w:t>https://ir.angi.com/quarterly-earnings</w:t>
      </w:r>
      <w:r>
        <w:rPr>
          <w:rFonts w:ascii="Times New Roman" w:cs="Times New Roman" w:eastAsia="Times New Roman" w:hAnsi="Times New Roman"/>
          <w:sz w:val="18"/>
          <w:szCs w:val="18"/>
          <w:color w:val="000000"/>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49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U.S. QUARTERLY PRO METRICS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0"/>
        </w:trPr>
        <w:tc>
          <w:tcPr>
            <w:tcW w:w="3020" w:type="dxa"/>
            <w:vAlign w:val="bottom"/>
          </w:tcPr>
          <w:p>
            <w:pPr>
              <w:spacing w:after="0"/>
              <w:rPr>
                <w:sz w:val="23"/>
                <w:szCs w:val="23"/>
                <w:color w:val="auto"/>
              </w:rPr>
            </w:pPr>
          </w:p>
        </w:tc>
        <w:tc>
          <w:tcPr>
            <w:tcW w:w="49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rounding differences may occur)</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
        </w:trPr>
        <w:tc>
          <w:tcPr>
            <w:tcW w:w="3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3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30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Pros</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Active Pros</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3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Churn</w:t>
            </w:r>
          </w:p>
        </w:tc>
        <w:tc>
          <w:tcPr>
            <w:tcW w:w="4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302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578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U.S. PROPRIETARY AND NETWORK CHANNEL METRICS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0"/>
        </w:trPr>
        <w:tc>
          <w:tcPr>
            <w:tcW w:w="2340" w:type="dxa"/>
            <w:vAlign w:val="bottom"/>
          </w:tcPr>
          <w:p>
            <w:pPr>
              <w:spacing w:after="0"/>
              <w:rPr>
                <w:sz w:val="23"/>
                <w:szCs w:val="23"/>
                <w:color w:val="auto"/>
              </w:rPr>
            </w:pPr>
          </w:p>
        </w:tc>
        <w:tc>
          <w:tcPr>
            <w:tcW w:w="5780" w:type="dxa"/>
            <w:vAlign w:val="bottom"/>
            <w:gridSpan w:val="5"/>
          </w:tcPr>
          <w:p>
            <w:pPr>
              <w:jc w:val="center"/>
              <w:ind w:left="71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rounding differences may occur)</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
        </w:trPr>
        <w:tc>
          <w:tcPr>
            <w:tcW w:w="2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24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Requests</w:t>
            </w:r>
          </w:p>
        </w:tc>
        <w:tc>
          <w:tcPr>
            <w:tcW w:w="4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w:t>
            </w:r>
          </w:p>
        </w:tc>
        <w:tc>
          <w:tcPr>
            <w:tcW w:w="4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2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w:t>
            </w:r>
          </w:p>
        </w:tc>
        <w:tc>
          <w:tcPr>
            <w:tcW w:w="4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7"/>
        </w:trPr>
        <w:tc>
          <w:tcPr>
            <w:tcW w:w="2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4,044</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4,144</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7"/>
        </w:trPr>
        <w:tc>
          <w:tcPr>
            <w:tcW w:w="2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2340" w:type="dxa"/>
            <w:vAlign w:val="bottom"/>
            <w:shd w:val="clear" w:color="auto" w:fill="CCEEFF"/>
          </w:tcPr>
          <w:p>
            <w:pPr>
              <w:spacing w:after="0"/>
              <w:rPr>
                <w:sz w:val="23"/>
                <w:szCs w:val="23"/>
                <w:color w:val="auto"/>
              </w:rPr>
            </w:pPr>
          </w:p>
        </w:tc>
        <w:tc>
          <w:tcPr>
            <w:tcW w:w="4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Leads</w:t>
            </w:r>
          </w:p>
        </w:tc>
        <w:tc>
          <w:tcPr>
            <w:tcW w:w="4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w:t>
            </w:r>
          </w:p>
        </w:tc>
        <w:tc>
          <w:tcPr>
            <w:tcW w:w="4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w:t>
            </w:r>
          </w:p>
        </w:tc>
        <w:tc>
          <w:tcPr>
            <w:tcW w:w="4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7"/>
        </w:trPr>
        <w:tc>
          <w:tcPr>
            <w:tcW w:w="23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70"/>
        </w:trPr>
        <w:tc>
          <w:tcPr>
            <w:tcW w:w="234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Revenue</w:t>
            </w:r>
          </w:p>
        </w:tc>
        <w:tc>
          <w:tcPr>
            <w:tcW w:w="4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195,186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Revenue</w:t>
            </w:r>
          </w:p>
        </w:tc>
        <w:tc>
          <w:tcPr>
            <w:tcW w:w="4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bl>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Page 3 of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w:t>
      </w:r>
    </w:p>
    <w:p>
      <w:pPr>
        <w:spacing w:after="0" w:line="2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Angi Inc. had 40.9 million shares of Class A and no shares of Class B common stock outstanding,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Angi Inc. had $202.5 million in cash and cash equivalents,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ANGI Group, LLC (a subsidiary of Angi Inc.) had $398.7 million (net of unamortized debt issuance costs) of 3.875% Senior Notes due August 15, 2028,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ANGI Group, LLC (a subsidiary of Angi Inc.) had $175.0 million available under its senior secured revolving facility, including a letter of credit sublimit of up to $25.0 million, that matures on November 6, 2030.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2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Angi Inc. will host a conference call to answer questions regarding its third quarter results on Wednesday, November 4, 2026, at 8:30 a.m. Eastern Time. This conference call will include the disclosure of certain information, including forward-looking information, which may be material to an investor’s understanding of Angi Inc.’s businesses. The conference call will be accessible to the public at </w:t>
      </w:r>
      <w:r>
        <w:rPr>
          <w:rFonts w:ascii="Times New Roman" w:cs="Times New Roman" w:eastAsia="Times New Roman" w:hAnsi="Times New Roman"/>
          <w:sz w:val="18"/>
          <w:szCs w:val="18"/>
          <w:color w:val="0000FF"/>
        </w:rPr>
        <w:t>ir.angi.com</w:t>
      </w:r>
      <w:r>
        <w:rPr>
          <w:rFonts w:ascii="Times New Roman" w:cs="Times New Roman" w:eastAsia="Times New Roman" w:hAnsi="Times New Roman"/>
          <w:sz w:val="18"/>
          <w:szCs w:val="18"/>
          <w:color w:val="auto"/>
        </w:rPr>
        <w:t xml:space="preserve"> and a recording of the webcast will be made available at that location.</w:t>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Page 4 of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DILUTIVE SECURITIES</w:t>
      </w:r>
    </w:p>
    <w:p>
      <w:pPr>
        <w:spacing w:after="0" w:line="3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Angi Inc. has various dilutive securities. The table below details these securities as well as potential dilution at various stock prices (shares in millions; rounding differences may occur).</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Avg.</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8"/>
        </w:trPr>
        <w:tc>
          <w:tcPr>
            <w:tcW w:w="3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0"/>
        </w:trPr>
        <w:tc>
          <w:tcPr>
            <w:tcW w:w="3940" w:type="dxa"/>
            <w:vAlign w:val="bottom"/>
          </w:tcPr>
          <w:p>
            <w:pPr>
              <w:spacing w:after="0"/>
              <w:rPr>
                <w:sz w:val="23"/>
                <w:szCs w:val="23"/>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3"/>
                <w:szCs w:val="2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3"/>
                <w:szCs w:val="23"/>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10/30/26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Dilution At:</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
        </w:trPr>
        <w:tc>
          <w:tcPr>
            <w:tcW w:w="39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39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9.00</w:t>
            </w:r>
          </w:p>
        </w:tc>
      </w:tr>
      <w:tr>
        <w:trPr>
          <w:trHeight w:val="270"/>
        </w:trPr>
        <w:tc>
          <w:tcPr>
            <w:tcW w:w="3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Absolute Shares as of 10/30/26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41.0</w:t>
            </w:r>
          </w:p>
        </w:tc>
      </w:tr>
      <w:tr>
        <w:trPr>
          <w:trHeight w:val="270"/>
        </w:trPr>
        <w:tc>
          <w:tcPr>
            <w:tcW w:w="3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and MSUs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39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Dilution</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0.9</w:t>
            </w:r>
          </w:p>
        </w:tc>
      </w:tr>
      <w:tr>
        <w:trPr>
          <w:trHeight w:val="243"/>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Dilution</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7"/>
        </w:trPr>
        <w:tc>
          <w:tcPr>
            <w:tcW w:w="3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Diluted Shares Outstanding</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41.9</w:t>
            </w:r>
          </w:p>
        </w:tc>
      </w:tr>
      <w:tr>
        <w:trPr>
          <w:trHeight w:val="20"/>
        </w:trPr>
        <w:tc>
          <w:tcPr>
            <w:tcW w:w="3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dilutive securities presentation is calculated using the method and assumptions described below, which are different from those used for GAAP dilution, which is calculated based on the treasury stock method.</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currently settles all equity awards on a net basis; therefore, the dilutive effect is presented as the net number of shares expected to be issued upon exercise or vesting, and in the case of options, assuming no proceeds are received by the Company. Any required withholding taxes are paid in cash by the Company on behalf of the employees assuming a withholding tax rate of 50%. In addition, the estimated income tax benefit from the tax deduction received upon the exercise or vesting of these awards is assumed to be used to repurchase Angi Inc. shares. Assuming all awards were exercised or vested on October 30, 2026, withholding taxes paid by the Company on behalf of the employees upon net settlement would have been $16.0 million, assuming a stock price of $5.99 and a 50% withholding rate.</w:t>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Page 5 of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212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21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6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6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gridSpan w:val="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86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242,018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728,171</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789,767</w:t>
            </w:r>
          </w:p>
        </w:tc>
      </w:tr>
      <w:tr>
        <w:trPr>
          <w:trHeight w:val="243"/>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 (exclusive of depreciation shown separately below)</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32,015</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38,617</w:t>
            </w:r>
          </w:p>
        </w:tc>
      </w:tr>
      <w:tr>
        <w:trPr>
          <w:trHeight w:val="27"/>
        </w:trPr>
        <w:tc>
          <w:tcPr>
            <w:tcW w:w="6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231,365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696,156</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751,150</w:t>
            </w:r>
          </w:p>
        </w:tc>
      </w:tr>
      <w:tr>
        <w:trPr>
          <w:trHeight w:val="20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50"/>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409,216</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387,308</w:t>
            </w:r>
          </w:p>
        </w:tc>
      </w:tr>
      <w:tr>
        <w:trPr>
          <w:trHeight w:val="243"/>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179,846</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200,810</w:t>
            </w:r>
          </w:p>
        </w:tc>
      </w:tr>
      <w:tr>
        <w:trPr>
          <w:trHeight w:val="27"/>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30,595</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71,430</w:t>
            </w:r>
          </w:p>
        </w:tc>
      </w:tr>
      <w:tr>
        <w:trPr>
          <w:trHeight w:val="243"/>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52,584</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32,144</w:t>
            </w:r>
          </w:p>
        </w:tc>
      </w:tr>
      <w:tr>
        <w:trPr>
          <w:trHeight w:val="27"/>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16,424</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225,628</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intangibles</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9,600</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215,889</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231,391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923,893</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691,692</w:t>
            </w:r>
          </w:p>
        </w:tc>
      </w:tr>
      <w:tr>
        <w:trPr>
          <w:trHeight w:val="27"/>
        </w:trPr>
        <w:tc>
          <w:tcPr>
            <w:tcW w:w="6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(227,737)</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59,458</w:t>
            </w:r>
          </w:p>
        </w:tc>
      </w:tr>
      <w:tr>
        <w:trPr>
          <w:trHeight w:val="243"/>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(15,164)</w:t>
            </w:r>
          </w:p>
        </w:tc>
      </w:tr>
      <w:tr>
        <w:trPr>
          <w:trHeight w:val="27"/>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13,967</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w:t>
            </w:r>
          </w:p>
        </w:tc>
      </w:tr>
      <w:tr>
        <w:trPr>
          <w:trHeight w:val="237"/>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before income taxes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(228,205)</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58,031</w:t>
            </w:r>
          </w:p>
        </w:tc>
      </w:tr>
      <w:tr>
        <w:trPr>
          <w:trHeight w:val="27"/>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(21,423)</w:t>
            </w:r>
          </w:p>
        </w:tc>
      </w:tr>
      <w:tr>
        <w:trPr>
          <w:trHeight w:val="23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 attributable to Angi Inc. shareholders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1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(238,307)</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36,608</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4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information attributable to Angi Inc. shareholders: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43"/>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7"/>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 expense by function:</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1,846</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r>
      <w:tr>
        <w:trPr>
          <w:trHeight w:val="243"/>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13,827</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7"/>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1,169</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r>
      <w:tr>
        <w:trPr>
          <w:trHeight w:val="237"/>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16,842</w:t>
            </w:r>
          </w:p>
        </w:tc>
        <w:tc>
          <w:tcPr>
            <w:tcW w:w="3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w:t>
            </w:r>
          </w:p>
        </w:tc>
      </w:tr>
      <w:tr>
        <w:trPr>
          <w:trHeight w:val="27"/>
        </w:trPr>
        <w:tc>
          <w:tcPr>
            <w:tcW w:w="6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Page 6 of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Angi Inc. and Subsidiaries</w:t>
      </w:r>
    </w:p>
    <w:p>
      <w:pPr>
        <w:spacing w:after="0" w:line="6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6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5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r>
      <w:tr>
        <w:trPr>
          <w:trHeight w:val="243"/>
        </w:trPr>
        <w:tc>
          <w:tcPr>
            <w:tcW w:w="5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4"/>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43"/>
        </w:trPr>
        <w:tc>
          <w:tcPr>
            <w:tcW w:w="576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303,701</w:t>
            </w: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33,054</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29,627</w:t>
            </w:r>
          </w:p>
        </w:tc>
      </w:tr>
      <w:tr>
        <w:trPr>
          <w:trHeight w:val="237"/>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261,108</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366,382</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6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leasehold improvements and equipment, net</w:t>
            </w:r>
          </w:p>
        </w:tc>
        <w:tc>
          <w:tcPr>
            <w:tcW w:w="22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99,101</w:t>
            </w:r>
          </w:p>
        </w:tc>
      </w:tr>
      <w:tr>
        <w:trPr>
          <w:trHeight w:val="25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662,382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890,066</w:t>
            </w: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157,136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167,142</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126,229</w:t>
            </w: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31,448</w:t>
            </w:r>
          </w:p>
        </w:tc>
      </w:tr>
      <w:tr>
        <w:trPr>
          <w:trHeight w:val="27"/>
        </w:trPr>
        <w:tc>
          <w:tcPr>
            <w:tcW w:w="5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8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1,321,963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1,680,368</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50"/>
        </w:trPr>
        <w:tc>
          <w:tcPr>
            <w:tcW w:w="576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34,031</w:t>
            </w: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22,096</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166,311</w:t>
            </w:r>
          </w:p>
        </w:tc>
      </w:tr>
      <w:tr>
        <w:trPr>
          <w:trHeight w:val="237"/>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200,970</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222,438</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398,650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497,667</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31,399</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convertible common stock</w:t>
            </w:r>
          </w:p>
        </w:tc>
        <w:tc>
          <w:tcPr>
            <w:tcW w:w="220" w:type="dxa"/>
            <w:vAlign w:val="bottom"/>
          </w:tcPr>
          <w:p>
            <w:pPr>
              <w:spacing w:after="0"/>
              <w:rPr>
                <w:sz w:val="21"/>
                <w:szCs w:val="21"/>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C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1,438,884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1,427,693</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(389,187)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(150,880)</w:t>
            </w: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(355,923)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(355,923)</w:t>
            </w:r>
          </w:p>
        </w:tc>
      </w:tr>
      <w:tr>
        <w:trPr>
          <w:trHeight w:val="23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698,125</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927,366</w:t>
            </w:r>
          </w:p>
        </w:tc>
      </w:tr>
      <w:tr>
        <w:trPr>
          <w:trHeight w:val="27"/>
        </w:trPr>
        <w:tc>
          <w:tcPr>
            <w:tcW w:w="5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89"/>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1,321,963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1,680,368</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0580"/>
          </w:cols>
          <w:pgMar w:left="980" w:top="121"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7"/>
              </w:rPr>
              <w:t>Page 7 of 16</w:t>
            </w:r>
          </w:p>
        </w:tc>
      </w:tr>
      <w:tr>
        <w:trPr>
          <w:trHeight w:val="823"/>
        </w:trPr>
        <w:tc>
          <w:tcPr>
            <w:tcW w:w="7780" w:type="dxa"/>
            <w:vAlign w:val="bottom"/>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rPr>
              <w:t>Angi Inc. and Subsidiaries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780" w:type="dxa"/>
            <w:vAlign w:val="bottom"/>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w w:val="98"/>
              </w:rPr>
              <w:t>CONSOLIDATED STATEMENT OF CASH FLOWS</w:t>
            </w: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7780" w:type="dxa"/>
            <w:vAlign w:val="bottom"/>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7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earnings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(238,307)</w:t>
            </w:r>
          </w:p>
        </w:tc>
        <w:tc>
          <w:tcPr>
            <w:tcW w:w="8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36,608</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earnings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52,584</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32,144</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30,134</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37,273</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 (including impairment of right-of-use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16,894</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225,628</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adjustments, net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(31,438)</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(37,863)</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(22,486)</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(13,865)</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(11,871)</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20" w:type="dxa"/>
            <w:vAlign w:val="bottom"/>
          </w:tcPr>
          <w:p>
            <w:pPr>
              <w:spacing w:after="0"/>
              <w:rPr>
                <w:sz w:val="23"/>
                <w:szCs w:val="23"/>
                <w:color w:val="auto"/>
              </w:rPr>
            </w:pPr>
          </w:p>
        </w:tc>
      </w:tr>
      <w:tr>
        <w:trPr>
          <w:trHeight w:val="237"/>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37,852</w:t>
            </w:r>
          </w:p>
        </w:tc>
        <w:tc>
          <w:tcPr>
            <w:tcW w:w="8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74,989</w:t>
            </w:r>
          </w:p>
        </w:tc>
        <w:tc>
          <w:tcPr>
            <w:tcW w:w="20" w:type="dxa"/>
            <w:vAlign w:val="bottom"/>
          </w:tcPr>
          <w:p>
            <w:pPr>
              <w:spacing w:after="0"/>
              <w:rPr>
                <w:sz w:val="20"/>
                <w:szCs w:val="20"/>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74"/>
        </w:trPr>
        <w:tc>
          <w:tcPr>
            <w:tcW w:w="77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(44,829)</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(40,872)</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sales of fixed assets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1"/>
                <w:szCs w:val="2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(44,754)</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(40,797)</w:t>
            </w:r>
          </w:p>
        </w:tc>
        <w:tc>
          <w:tcPr>
            <w:tcW w:w="20" w:type="dxa"/>
            <w:vAlign w:val="bottom"/>
          </w:tcPr>
          <w:p>
            <w:pPr>
              <w:spacing w:after="0"/>
              <w:rPr>
                <w:sz w:val="22"/>
                <w:szCs w:val="22"/>
                <w:color w:val="auto"/>
              </w:rPr>
            </w:pPr>
          </w:p>
        </w:tc>
      </w:tr>
      <w:tr>
        <w:trPr>
          <w:trHeight w:val="74"/>
        </w:trPr>
        <w:tc>
          <w:tcPr>
            <w:tcW w:w="778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50"/>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Repurchases of debt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(91,195)</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Withholding taxes paid on behalf of employees on net settled stock-based awards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2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(102,657)</w:t>
            </w:r>
          </w:p>
        </w:tc>
        <w:tc>
          <w:tcPr>
            <w:tcW w:w="20" w:type="dxa"/>
            <w:vAlign w:val="bottom"/>
          </w:tcPr>
          <w:p>
            <w:pPr>
              <w:spacing w:after="0"/>
              <w:rPr>
                <w:sz w:val="21"/>
                <w:szCs w:val="2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(93,589)</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(109,564)</w:t>
            </w:r>
          </w:p>
        </w:tc>
        <w:tc>
          <w:tcPr>
            <w:tcW w:w="20" w:type="dxa"/>
            <w:vAlign w:val="bottom"/>
          </w:tcPr>
          <w:p>
            <w:pPr>
              <w:spacing w:after="0"/>
              <w:rPr>
                <w:sz w:val="22"/>
                <w:szCs w:val="22"/>
                <w:color w:val="auto"/>
              </w:rPr>
            </w:pPr>
          </w:p>
        </w:tc>
      </w:tr>
      <w:tr>
        <w:trPr>
          <w:trHeight w:val="75"/>
        </w:trPr>
        <w:tc>
          <w:tcPr>
            <w:tcW w:w="778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50"/>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used</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(100,491)</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(75,372)</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 w:type="dxa"/>
            <w:vAlign w:val="bottom"/>
          </w:tcPr>
          <w:p>
            <w:pPr>
              <w:spacing w:after="0"/>
              <w:rPr>
                <w:sz w:val="21"/>
                <w:szCs w:val="2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 and 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(101,198)</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(75,856)</w:t>
            </w:r>
          </w:p>
        </w:tc>
        <w:tc>
          <w:tcPr>
            <w:tcW w:w="20" w:type="dxa"/>
            <w:vAlign w:val="bottom"/>
          </w:tcPr>
          <w:p>
            <w:pPr>
              <w:spacing w:after="0"/>
              <w:rPr>
                <w:sz w:val="21"/>
                <w:szCs w:val="2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303,701</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416,545</w:t>
            </w:r>
          </w:p>
        </w:tc>
        <w:tc>
          <w:tcPr>
            <w:tcW w:w="20" w:type="dxa"/>
            <w:vAlign w:val="bottom"/>
          </w:tcPr>
          <w:p>
            <w:pPr>
              <w:spacing w:after="0"/>
              <w:rPr>
                <w:sz w:val="21"/>
                <w:szCs w:val="2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202,503</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340,689</w:t>
            </w:r>
          </w:p>
        </w:tc>
        <w:tc>
          <w:tcPr>
            <w:tcW w:w="20" w:type="dxa"/>
            <w:vAlign w:val="bottom"/>
          </w:tcPr>
          <w:p>
            <w:pPr>
              <w:spacing w:after="0"/>
              <w:rPr>
                <w:sz w:val="24"/>
                <w:szCs w:val="24"/>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00"/>
          </w:cols>
          <w:pgMar w:left="360" w:top="121"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Page 8 of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Significant Expenses</w:t>
      </w:r>
    </w:p>
    <w:p>
      <w:pPr>
        <w:spacing w:after="0" w:line="30"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The following tables present the significant expenses included in the Company’s segment reporting performance measure, Segment Adjusted EBITDA, that are regularly provided to the Chief Operating Decision Maker (CODM):</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7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7"/>
        </w:trPr>
        <w:tc>
          <w:tcPr>
            <w:tcW w:w="3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gridSpan w:val="2"/>
          </w:tcPr>
          <w:p>
            <w:pPr>
              <w:spacing w:after="0"/>
              <w:rPr>
                <w:sz w:val="2"/>
                <w:szCs w:val="2"/>
                <w:color w:val="auto"/>
              </w:rPr>
            </w:pPr>
          </w:p>
        </w:tc>
      </w:tr>
      <w:tr>
        <w:trPr>
          <w:trHeight w:val="236"/>
        </w:trPr>
        <w:tc>
          <w:tcPr>
            <w:tcW w:w="3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(As a percentage of revenue)</w:t>
            </w: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5%</w:t>
            </w: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marketing expense</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84,869</w:t>
            </w:r>
          </w:p>
        </w:tc>
        <w:tc>
          <w:tcPr>
            <w:tcW w:w="208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41%</w:t>
            </w:r>
          </w:p>
        </w:tc>
        <w:tc>
          <w:tcPr>
            <w:tcW w:w="17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36%</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expense</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26,979</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12%</w:t>
            </w: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 acquisition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34,068</w:t>
            </w:r>
          </w:p>
        </w:tc>
        <w:tc>
          <w:tcPr>
            <w:tcW w:w="208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14%</w:t>
            </w:r>
          </w:p>
        </w:tc>
        <w:tc>
          <w:tcPr>
            <w:tcW w:w="17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15%</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expense</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45,006</w:t>
            </w:r>
          </w:p>
        </w:tc>
        <w:tc>
          <w:tcPr>
            <w:tcW w:w="20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17%</w:t>
            </w: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19%</w:t>
            </w:r>
          </w:p>
        </w:tc>
      </w:tr>
      <w:tr>
        <w:trPr>
          <w:trHeight w:val="27"/>
        </w:trPr>
        <w:tc>
          <w:tcPr>
            <w:tcW w:w="3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U.S. expenses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179,266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202,192</w:t>
            </w:r>
          </w:p>
        </w:tc>
        <w:tc>
          <w:tcPr>
            <w:tcW w:w="208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85%</w:t>
            </w:r>
          </w:p>
        </w:tc>
        <w:tc>
          <w:tcPr>
            <w:tcW w:w="17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87%</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7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4%</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marketing expense</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20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12%</w:t>
            </w: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13%</w:t>
            </w: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expense</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208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16%</w:t>
            </w:r>
          </w:p>
        </w:tc>
        <w:tc>
          <w:tcPr>
            <w:tcW w:w="17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16%</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 acquisition expense</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0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12%</w:t>
            </w: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7%</w:t>
            </w: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expense</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11,249</w:t>
            </w:r>
          </w:p>
        </w:tc>
        <w:tc>
          <w:tcPr>
            <w:tcW w:w="208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21%</w:t>
            </w:r>
          </w:p>
        </w:tc>
        <w:tc>
          <w:tcPr>
            <w:tcW w:w="17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35%</w:t>
            </w:r>
          </w:p>
        </w:tc>
      </w:tr>
      <w:tr>
        <w:trPr>
          <w:trHeight w:val="237"/>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International expenses</w:t>
            </w: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20,564</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23,952</w:t>
            </w:r>
          </w:p>
        </w:tc>
        <w:tc>
          <w:tcPr>
            <w:tcW w:w="20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67%</w:t>
            </w: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74%</w:t>
            </w: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5%</w:t>
            </w: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marketing expense</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88,953</w:t>
            </w:r>
          </w:p>
        </w:tc>
        <w:tc>
          <w:tcPr>
            <w:tcW w:w="208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37%</w:t>
            </w:r>
          </w:p>
        </w:tc>
        <w:tc>
          <w:tcPr>
            <w:tcW w:w="17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33%</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expense</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32,096</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12%</w:t>
            </w: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 acquisition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36,380</w:t>
            </w:r>
          </w:p>
        </w:tc>
        <w:tc>
          <w:tcPr>
            <w:tcW w:w="208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14%</w:t>
            </w:r>
          </w:p>
        </w:tc>
        <w:tc>
          <w:tcPr>
            <w:tcW w:w="17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14%</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expense</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56,255</w:t>
            </w:r>
          </w:p>
        </w:tc>
        <w:tc>
          <w:tcPr>
            <w:tcW w:w="20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18%</w:t>
            </w: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21%</w:t>
            </w:r>
          </w:p>
        </w:tc>
      </w:tr>
      <w:tr>
        <w:trPr>
          <w:trHeight w:val="27"/>
        </w:trPr>
        <w:tc>
          <w:tcPr>
            <w:tcW w:w="3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8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199,830</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226,144</w:t>
            </w:r>
          </w:p>
        </w:tc>
        <w:tc>
          <w:tcPr>
            <w:tcW w:w="208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83%</w:t>
            </w:r>
          </w:p>
        </w:tc>
        <w:tc>
          <w:tcPr>
            <w:tcW w:w="17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85%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 acquisition expense for the three months ended September 30, 2026 excludes $2.1 million of commissions capitalized in the same period and includes $2.7 million of amortization of capitalized commissions from prior periods. Pro acquisition expense for the three months ended September 30, 2025 excludes $1.9 million of commissions capitalized in the same period and includes $6.5 million of amortization of capitalized commissions from prior periods.</w:t>
      </w:r>
    </w:p>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Page 9 of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7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7"/>
        </w:trPr>
        <w:tc>
          <w:tcPr>
            <w:tcW w:w="3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gridSpan w:val="2"/>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(As a percentage of revenue)</w:t>
            </w: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27,462</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35,619</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marketing expense</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273,636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242,999</w:t>
            </w:r>
          </w:p>
        </w:tc>
        <w:tc>
          <w:tcPr>
            <w:tcW w:w="20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expense</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81,507</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 acquisition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108,243</w:t>
            </w:r>
          </w:p>
        </w:tc>
        <w:tc>
          <w:tcPr>
            <w:tcW w:w="20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expense</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106,460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142,761</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r>
      <w:tr>
        <w:trPr>
          <w:trHeight w:val="27"/>
        </w:trPr>
        <w:tc>
          <w:tcPr>
            <w:tcW w:w="3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U.S. expenses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560,546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611,129</w:t>
            </w:r>
          </w:p>
        </w:tc>
        <w:tc>
          <w:tcPr>
            <w:tcW w:w="20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88%</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20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marketing expense</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expense</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20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 acquisition expense</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expense</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34,786</w:t>
            </w:r>
          </w:p>
        </w:tc>
        <w:tc>
          <w:tcPr>
            <w:tcW w:w="20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r>
      <w:tr>
        <w:trPr>
          <w:trHeight w:val="237"/>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International expenses</w:t>
            </w: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74,284</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78,480</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32,015</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38,617</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marketing expense</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293,720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256,770</w:t>
            </w:r>
          </w:p>
        </w:tc>
        <w:tc>
          <w:tcPr>
            <w:tcW w:w="20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expense</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98,003</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 acquisition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118,672</w:t>
            </w:r>
          </w:p>
        </w:tc>
        <w:tc>
          <w:tcPr>
            <w:tcW w:w="20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expense</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126,801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177,547</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r>
      <w:tr>
        <w:trPr>
          <w:trHeight w:val="27"/>
        </w:trPr>
        <w:tc>
          <w:tcPr>
            <w:tcW w:w="3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8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634,830</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689,609</w:t>
            </w:r>
          </w:p>
        </w:tc>
        <w:tc>
          <w:tcPr>
            <w:tcW w:w="20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87%</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87%</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 acquisition expense for the nine months ended September 30, 2026 excludes $7.1 million of commissions capitalized in the same period and includes $9.0 million of amortization of capitalized commissions from prior periods. Pro acquisition expense for the nine months ended September 30, 2025 excludes $7.7 million of commissions capitalized in the same period and includes $23.3 million of amortization of capitalized commissions from prior periods.</w:t>
      </w:r>
    </w:p>
    <w:p>
      <w:pPr>
        <w:sectPr>
          <w:pgSz w:w="11900" w:h="16838" w:orient="portrait"/>
          <w:cols w:equalWidth="0" w:num="1">
            <w:col w:w="11240"/>
          </w:cols>
          <w:pgMar w:left="320" w:top="121" w:right="33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Revenue by Segment</w:t>
      </w:r>
    </w:p>
    <w:p>
      <w:pPr>
        <w:spacing w:after="0" w:line="345"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 in millions; rounding differences may occur)</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International</w:t>
      </w:r>
    </w:p>
    <w:p>
      <w:pPr>
        <w:spacing w:after="0" w:line="10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8"/>
        </w:trPr>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3"/>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4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4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-565150</wp:posOffset>
            </wp:positionV>
            <wp:extent cx="71323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-213995</wp:posOffset>
            </wp:positionV>
            <wp:extent cx="7132320" cy="196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ectPr>
          <w:pgSz w:w="11900" w:h="16838" w:orient="portrait"/>
          <w:cols w:equalWidth="0" w:num="2">
            <w:col w:w="2920" w:space="40"/>
            <w:col w:w="8280"/>
          </w:cols>
          <w:pgMar w:left="320" w:top="121" w:right="33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t>Page 10 of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RECONCILIATIONS OF GAAP TO NON-GAAP MEASURES AND SIGNIFICANT EXPENSES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millions; rounding differences may occur)</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EARNINGS (LOSS) TO ADJUSTED EBITDA</w:t>
      </w:r>
    </w:p>
    <w:p>
      <w:pPr>
        <w:spacing w:after="0" w:line="31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30480</wp:posOffset>
            </wp:positionV>
            <wp:extent cx="5957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757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Stock-Based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Goodwill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80" w:type="dxa"/>
            <w:vAlign w:val="bottom"/>
          </w:tcPr>
          <w:p>
            <w:pPr>
              <w:spacing w:after="0"/>
              <w:rPr>
                <w:sz w:val="16"/>
                <w:szCs w:val="16"/>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0" w:type="dxa"/>
            <w:vAlign w:val="bottom"/>
          </w:tcPr>
          <w:p>
            <w:pPr>
              <w:spacing w:after="0"/>
              <w:rPr>
                <w:sz w:val="1"/>
                <w:szCs w:val="1"/>
                <w:color w:val="auto"/>
              </w:rPr>
            </w:pPr>
          </w:p>
        </w:tc>
      </w:tr>
      <w:tr>
        <w:trPr>
          <w:trHeight w:val="239"/>
        </w:trPr>
        <w:tc>
          <w:tcPr>
            <w:tcW w:w="18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Borders>
              <w:bottom w:val="single" w:sz="8" w:color="CCEEFF"/>
            </w:tcBorders>
            <w:gridSpan w:val="3"/>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100" w:type="dxa"/>
            <w:vAlign w:val="bottom"/>
            <w:tcBorders>
              <w:bottom w:val="single" w:sz="8" w:color="CCEEFF"/>
            </w:tcBorders>
            <w:gridSpan w:val="3"/>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00" w:type="dxa"/>
            <w:vAlign w:val="bottom"/>
            <w:tcBorders>
              <w:bottom w:val="single" w:sz="8" w:color="CCEEFF"/>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of Intangibles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4"/>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37"/>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4"/>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3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86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Earnings before income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86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Net earnings attributable to</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Angi Inc. shareholders</w:t>
            </w:r>
          </w:p>
        </w:tc>
        <w:tc>
          <w:tcPr>
            <w:tcW w:w="180" w:type="dxa"/>
            <w:vAlign w:val="bottom"/>
            <w:tcBorders>
              <w:bottom w:val="single" w:sz="8" w:color="auto"/>
            </w:tcBorders>
            <w:gridSpan w:val="2"/>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8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60" w:type="dxa"/>
            <w:vAlign w:val="bottom"/>
            <w:gridSpan w:val="16"/>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54"/>
        </w:trPr>
        <w:tc>
          <w:tcPr>
            <w:tcW w:w="18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6"/>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Stock-Based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Goodwill</w:t>
            </w:r>
          </w:p>
        </w:tc>
        <w:tc>
          <w:tcPr>
            <w:tcW w:w="140" w:type="dxa"/>
            <w:vAlign w:val="bottom"/>
          </w:tcPr>
          <w:p>
            <w:pPr>
              <w:spacing w:after="0"/>
              <w:rPr>
                <w:sz w:val="18"/>
                <w:szCs w:val="18"/>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80" w:type="dxa"/>
            <w:vAlign w:val="bottom"/>
          </w:tcPr>
          <w:p>
            <w:pPr>
              <w:spacing w:after="0"/>
              <w:rPr>
                <w:sz w:val="18"/>
                <w:szCs w:val="18"/>
                <w:color w:val="auto"/>
              </w:rPr>
            </w:pPr>
          </w:p>
        </w:tc>
        <w:tc>
          <w:tcPr>
            <w:tcW w:w="9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8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Expense</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Borders>
              <w:bottom w:val="single" w:sz="8" w:color="CCEEFF"/>
            </w:tcBorders>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100" w:type="dxa"/>
            <w:vAlign w:val="bottom"/>
            <w:tcBorders>
              <w:bottom w:val="single" w:sz="8" w:color="CCEEFF"/>
            </w:tcBorders>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20" w:type="dxa"/>
            <w:vAlign w:val="bottom"/>
            <w:tcBorders>
              <w:bottom w:val="single" w:sz="8" w:color="CCEEFF"/>
            </w:tcBorders>
            <w:gridSpan w:val="3"/>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of Intangibles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4"/>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37"/>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3"/>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3"/>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gridSpan w:val="3"/>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4"/>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3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left="499"/>
              <w:spacing w:after="0"/>
              <w:rPr>
                <w:sz w:val="20"/>
                <w:szCs w:val="20"/>
                <w:color w:val="auto"/>
              </w:rPr>
            </w:pPr>
            <w:r>
              <w:rPr>
                <w:rFonts w:ascii="Times New Roman" w:cs="Times New Roman" w:eastAsia="Times New Roman" w:hAnsi="Times New Roman"/>
                <w:sz w:val="16"/>
                <w:szCs w:val="16"/>
                <w:color w:val="auto"/>
                <w:w w:val="97"/>
              </w:rPr>
              <w:t>(5.1)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before income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attributable to</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Angi Inc. shareholders</w:t>
            </w:r>
          </w:p>
        </w:tc>
        <w:tc>
          <w:tcPr>
            <w:tcW w:w="180" w:type="dxa"/>
            <w:vAlign w:val="bottom"/>
            <w:tcBorders>
              <w:bottom w:val="single" w:sz="8" w:color="auto"/>
            </w:tcBorders>
            <w:gridSpan w:val="2"/>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16"/>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6"/>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Stock-Based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80" w:type="dxa"/>
            <w:vAlign w:val="bottom"/>
          </w:tcPr>
          <w:p>
            <w:pPr>
              <w:spacing w:after="0"/>
              <w:rPr>
                <w:sz w:val="16"/>
                <w:szCs w:val="16"/>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0" w:type="dxa"/>
            <w:vAlign w:val="bottom"/>
          </w:tcPr>
          <w:p>
            <w:pPr>
              <w:spacing w:after="0"/>
              <w:rPr>
                <w:sz w:val="1"/>
                <w:szCs w:val="1"/>
                <w:color w:val="auto"/>
              </w:rPr>
            </w:pPr>
          </w:p>
        </w:tc>
      </w:tr>
      <w:tr>
        <w:trPr>
          <w:trHeight w:val="239"/>
        </w:trPr>
        <w:tc>
          <w:tcPr>
            <w:tcW w:w="18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Operating Loss</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80" w:type="dxa"/>
            <w:vAlign w:val="bottom"/>
            <w:tcBorders>
              <w:bottom w:val="single" w:sz="8" w:color="CCEEFF"/>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80" w:type="dxa"/>
            <w:vAlign w:val="bottom"/>
            <w:tcBorders>
              <w:bottom w:val="single" w:sz="8" w:color="CCEEFF"/>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of Intangibles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2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37"/>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left="499"/>
              <w:spacing w:after="0"/>
              <w:rPr>
                <w:sz w:val="20"/>
                <w:szCs w:val="20"/>
                <w:color w:val="auto"/>
              </w:rPr>
            </w:pPr>
            <w:r>
              <w:rPr>
                <w:rFonts w:ascii="Times New Roman" w:cs="Times New Roman" w:eastAsia="Times New Roman" w:hAnsi="Times New Roman"/>
                <w:sz w:val="16"/>
                <w:szCs w:val="16"/>
                <w:color w:val="auto"/>
              </w:rPr>
              <w:t>15.4</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2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0" w:type="dxa"/>
            <w:vAlign w:val="bottom"/>
          </w:tcPr>
          <w:p>
            <w:pPr>
              <w:spacing w:after="0"/>
              <w:rPr>
                <w:sz w:val="1"/>
                <w:szCs w:val="1"/>
                <w:color w:val="auto"/>
              </w:rPr>
            </w:pPr>
          </w:p>
        </w:tc>
      </w:tr>
      <w:tr>
        <w:trPr>
          <w:trHeight w:val="23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rPr>
              <w:t>14.0</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86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Net loss attributable to Angi</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 shareholders</w:t>
            </w:r>
          </w:p>
        </w:tc>
        <w:tc>
          <w:tcPr>
            <w:tcW w:w="1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t>Page 11 of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13"/>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Stock-Based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0" w:type="dxa"/>
            <w:vAlign w:val="bottom"/>
          </w:tcPr>
          <w:p>
            <w:pPr>
              <w:spacing w:after="0"/>
              <w:rPr>
                <w:sz w:val="1"/>
                <w:szCs w:val="1"/>
                <w:color w:val="auto"/>
              </w:rPr>
            </w:pPr>
          </w:p>
        </w:tc>
      </w:tr>
      <w:tr>
        <w:trPr>
          <w:trHeight w:val="239"/>
        </w:trPr>
        <w:tc>
          <w:tcPr>
            <w:tcW w:w="16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136"/>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8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of Intangibles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0" w:type="dxa"/>
            <w:vAlign w:val="bottom"/>
          </w:tcPr>
          <w:p>
            <w:pPr>
              <w:spacing w:after="0"/>
              <w:rPr>
                <w:sz w:val="1"/>
                <w:szCs w:val="1"/>
                <w:color w:val="auto"/>
              </w:rPr>
            </w:pPr>
          </w:p>
        </w:tc>
      </w:tr>
      <w:tr>
        <w:trPr>
          <w:trHeight w:val="24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40.4</w:t>
            </w:r>
          </w:p>
        </w:tc>
        <w:tc>
          <w:tcPr>
            <w:tcW w:w="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916"/>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7.9</w:t>
            </w:r>
          </w:p>
        </w:tc>
        <w:tc>
          <w:tcPr>
            <w:tcW w:w="620" w:type="dxa"/>
            <w:vAlign w:val="bottom"/>
            <w:gridSpan w:val="2"/>
            <w:shd w:val="clear" w:color="auto" w:fill="CCEEFF"/>
          </w:tcPr>
          <w:p>
            <w:pPr>
              <w:jc w:val="right"/>
              <w:ind w:right="333"/>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78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1"/>
                <w:szCs w:val="21"/>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40" w:type="dxa"/>
            <w:vAlign w:val="bottom"/>
            <w:tcBorders>
              <w:right w:val="single" w:sz="8" w:color="CCEEFF"/>
            </w:tcBorders>
            <w:gridSpan w:val="2"/>
            <w:shd w:val="clear" w:color="auto" w:fill="CCEEFF"/>
          </w:tcPr>
          <w:p>
            <w:pPr>
              <w:jc w:val="right"/>
              <w:ind w:right="77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60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36"/>
        </w:trPr>
        <w:tc>
          <w:tcPr>
            <w:tcW w:w="1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9"/>
              </w:rPr>
              <w:t>19.0</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1.0</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43"/>
        </w:trPr>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59.4</w:t>
            </w:r>
          </w:p>
        </w:tc>
        <w:tc>
          <w:tcPr>
            <w:tcW w:w="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916"/>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8.9</w:t>
            </w:r>
          </w:p>
        </w:tc>
        <w:tc>
          <w:tcPr>
            <w:tcW w:w="620" w:type="dxa"/>
            <w:vAlign w:val="bottom"/>
            <w:gridSpan w:val="2"/>
            <w:shd w:val="clear" w:color="auto" w:fill="CCEEFF"/>
          </w:tcPr>
          <w:p>
            <w:pPr>
              <w:jc w:val="right"/>
              <w:ind w:right="333"/>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78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1"/>
                <w:szCs w:val="21"/>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40" w:type="dxa"/>
            <w:vAlign w:val="bottom"/>
            <w:tcBorders>
              <w:right w:val="single" w:sz="8" w:color="CCEEFF"/>
            </w:tcBorders>
            <w:gridSpan w:val="2"/>
            <w:shd w:val="clear" w:color="auto" w:fill="CCEEFF"/>
          </w:tcPr>
          <w:p>
            <w:pPr>
              <w:jc w:val="right"/>
              <w:ind w:right="77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60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0" w:type="dxa"/>
            <w:vAlign w:val="bottom"/>
          </w:tcPr>
          <w:p>
            <w:pPr>
              <w:spacing w:after="0"/>
              <w:rPr>
                <w:sz w:val="1"/>
                <w:szCs w:val="1"/>
                <w:color w:val="auto"/>
              </w:rPr>
            </w:pPr>
          </w:p>
        </w:tc>
      </w:tr>
      <w:tr>
        <w:trPr>
          <w:trHeight w:val="233"/>
        </w:trPr>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20"/>
                <w:szCs w:val="20"/>
                <w:color w:val="auto"/>
              </w:rPr>
            </w:pPr>
          </w:p>
        </w:tc>
        <w:tc>
          <w:tcPr>
            <w:tcW w:w="120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13.7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6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Earnings before income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9"/>
              </w:rPr>
              <w:t>58.0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6"/>
                <w:szCs w:val="16"/>
                <w:color w:val="auto"/>
              </w:rPr>
              <w:t>Net earnings attributable to</w:t>
            </w:r>
          </w:p>
        </w:tc>
        <w:tc>
          <w:tcPr>
            <w:tcW w:w="100" w:type="dxa"/>
            <w:vAlign w:val="bottom"/>
            <w:vMerge w:val="restart"/>
          </w:tcPr>
          <w:p>
            <w:pPr>
              <w:spacing w:after="0"/>
              <w:rPr>
                <w:sz w:val="15"/>
                <w:szCs w:val="15"/>
                <w:color w:val="auto"/>
              </w:rPr>
            </w:pPr>
          </w:p>
        </w:tc>
        <w:tc>
          <w:tcPr>
            <w:tcW w:w="74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99"/>
              </w:rPr>
              <w:t>36.6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Angi Inc. shareholders</w:t>
            </w:r>
          </w:p>
        </w:tc>
        <w:tc>
          <w:tcPr>
            <w:tcW w:w="1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920" w:type="dxa"/>
            <w:vAlign w:val="bottom"/>
            <w:gridSpan w:val="3"/>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9980" w:type="dxa"/>
            <w:vAlign w:val="bottom"/>
            <w:gridSpan w:val="36"/>
          </w:tcPr>
          <w:p>
            <w:pPr>
              <w:ind w:left="1440"/>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BY OPERATING ACTIVITIES TO FREE CASH FLOW</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gridSpan w:val="5"/>
          </w:tcPr>
          <w:p>
            <w:pPr>
              <w:spacing w:after="0"/>
              <w:rPr>
                <w:sz w:val="24"/>
                <w:szCs w:val="24"/>
                <w:color w:val="auto"/>
              </w:rPr>
            </w:pPr>
          </w:p>
        </w:tc>
        <w:tc>
          <w:tcPr>
            <w:tcW w:w="1020" w:type="dxa"/>
            <w:vAlign w:val="bottom"/>
            <w:tcBorders>
              <w:bottom w:val="single" w:sz="8" w:color="auto"/>
            </w:tcBorders>
            <w:gridSpan w:val="4"/>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60" w:type="dxa"/>
            <w:vAlign w:val="bottom"/>
            <w:gridSpan w:val="11"/>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gridSpan w:val="13"/>
          </w:tcPr>
          <w:p>
            <w:pPr>
              <w:jc w:val="right"/>
              <w:ind w:right="555"/>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2740" w:type="dxa"/>
            <w:vAlign w:val="bottom"/>
            <w:gridSpan w:val="5"/>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gridSpan w:val="8"/>
          </w:tcPr>
          <w:p>
            <w:pPr>
              <w:ind w:left="20"/>
              <w:spacing w:after="0"/>
              <w:rPr>
                <w:sz w:val="20"/>
                <w:szCs w:val="20"/>
                <w:color w:val="auto"/>
              </w:rPr>
            </w:pPr>
            <w:r>
              <w:rPr>
                <w:rFonts w:ascii="Times New Roman" w:cs="Times New Roman" w:eastAsia="Times New Roman" w:hAnsi="Times New Roman"/>
                <w:sz w:val="16"/>
                <w:szCs w:val="16"/>
                <w:i w:val="1"/>
                <w:iCs w:val="1"/>
                <w:color w:val="auto"/>
              </w:rPr>
              <w:t>($ in millions; rounding differences may occur)</w:t>
            </w:r>
          </w:p>
        </w:tc>
        <w:tc>
          <w:tcPr>
            <w:tcW w:w="80" w:type="dxa"/>
            <w:vAlign w:val="bottom"/>
            <w:tcBorders>
              <w:bottom w:val="single" w:sz="8" w:color="CCEEFF"/>
            </w:tcBorders>
            <w:gridSpan w:val="2"/>
          </w:tcPr>
          <w:p>
            <w:pPr>
              <w:spacing w:after="0"/>
              <w:rPr>
                <w:sz w:val="22"/>
                <w:szCs w:val="22"/>
                <w:color w:val="auto"/>
              </w:rPr>
            </w:pPr>
          </w:p>
        </w:tc>
        <w:tc>
          <w:tcPr>
            <w:tcW w:w="13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center"/>
              <w:ind w:left="577"/>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28.5</w:t>
            </w:r>
          </w:p>
        </w:tc>
        <w:tc>
          <w:tcPr>
            <w:tcW w:w="5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right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43"/>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gridSpan w:val="2"/>
          </w:tcPr>
          <w:p>
            <w:pPr>
              <w:jc w:val="center"/>
              <w:ind w:left="55"/>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7"/>
        </w:trPr>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gridSpan w:val="2"/>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right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right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0"/>
        </w:trPr>
        <w:tc>
          <w:tcPr>
            <w:tcW w:w="27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9780" w:type="dxa"/>
            <w:vAlign w:val="bottom"/>
            <w:gridSpan w:val="34"/>
          </w:tcPr>
          <w:p>
            <w:pPr>
              <w:ind w:left="1500"/>
              <w:spacing w:after="0"/>
              <w:rPr>
                <w:sz w:val="20"/>
                <w:szCs w:val="20"/>
                <w:color w:val="auto"/>
              </w:rPr>
            </w:pPr>
            <w:r>
              <w:rPr>
                <w:rFonts w:ascii="Times New Roman" w:cs="Times New Roman" w:eastAsia="Times New Roman" w:hAnsi="Times New Roman"/>
                <w:sz w:val="18"/>
                <w:szCs w:val="18"/>
                <w:b w:val="1"/>
                <w:bCs w:val="1"/>
                <w:color w:val="auto"/>
                <w:w w:val="99"/>
              </w:rPr>
              <w:t>RECONCILIATION OF TOTAL OPERATING COSTS AND EXPENSES TO SIGNIFICANT EXPENSES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gridSpan w:val="14"/>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Total Significant</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center"/>
              <w:ind w:right="196"/>
              <w:spacing w:after="0"/>
              <w:rPr>
                <w:sz w:val="20"/>
                <w:szCs w:val="20"/>
                <w:color w:val="auto"/>
              </w:rPr>
            </w:pPr>
            <w:r>
              <w:rPr>
                <w:rFonts w:ascii="Times New Roman" w:cs="Times New Roman" w:eastAsia="Times New Roman" w:hAnsi="Times New Roman"/>
                <w:sz w:val="16"/>
                <w:szCs w:val="16"/>
                <w:b w:val="1"/>
                <w:bCs w:val="1"/>
                <w:color w:val="auto"/>
              </w:rPr>
              <w:t>Stock-based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4"/>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Goodwill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4"/>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Impairment of</w:t>
            </w:r>
          </w:p>
        </w:tc>
        <w:tc>
          <w:tcPr>
            <w:tcW w:w="100" w:type="dxa"/>
            <w:vAlign w:val="bottom"/>
          </w:tcPr>
          <w:p>
            <w:pPr>
              <w:spacing w:after="0"/>
              <w:rPr>
                <w:sz w:val="16"/>
                <w:szCs w:val="16"/>
                <w:color w:val="auto"/>
              </w:rPr>
            </w:pPr>
          </w:p>
        </w:tc>
        <w:tc>
          <w:tcPr>
            <w:tcW w:w="13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(Excluding Cost of</w:t>
            </w:r>
          </w:p>
        </w:tc>
        <w:tc>
          <w:tcPr>
            <w:tcW w:w="0" w:type="dxa"/>
            <w:vAlign w:val="bottom"/>
          </w:tcPr>
          <w:p>
            <w:pPr>
              <w:spacing w:after="0"/>
              <w:rPr>
                <w:sz w:val="1"/>
                <w:szCs w:val="1"/>
                <w:color w:val="auto"/>
              </w:rPr>
            </w:pPr>
          </w:p>
        </w:tc>
      </w:tr>
      <w:tr>
        <w:trPr>
          <w:trHeight w:val="239"/>
        </w:trPr>
        <w:tc>
          <w:tcPr>
            <w:tcW w:w="16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Impairment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9"/>
              </w:rPr>
              <w:t>Intangibles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43"/>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center"/>
              <w:ind w:left="6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gridSpan w:val="14"/>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4"/>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Total Significant</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right="196"/>
              <w:spacing w:after="0"/>
              <w:rPr>
                <w:sz w:val="20"/>
                <w:szCs w:val="20"/>
                <w:color w:val="auto"/>
              </w:rPr>
            </w:pPr>
            <w:r>
              <w:rPr>
                <w:rFonts w:ascii="Times New Roman" w:cs="Times New Roman" w:eastAsia="Times New Roman" w:hAnsi="Times New Roman"/>
                <w:sz w:val="16"/>
                <w:szCs w:val="16"/>
                <w:b w:val="1"/>
                <w:bCs w:val="1"/>
                <w:color w:val="auto"/>
              </w:rPr>
              <w:t>Stock-based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4"/>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Goodwill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4"/>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Impairment of</w:t>
            </w:r>
          </w:p>
        </w:tc>
        <w:tc>
          <w:tcPr>
            <w:tcW w:w="100" w:type="dxa"/>
            <w:vAlign w:val="bottom"/>
          </w:tcPr>
          <w:p>
            <w:pPr>
              <w:spacing w:after="0"/>
              <w:rPr>
                <w:sz w:val="16"/>
                <w:szCs w:val="16"/>
                <w:color w:val="auto"/>
              </w:rPr>
            </w:pPr>
          </w:p>
        </w:tc>
        <w:tc>
          <w:tcPr>
            <w:tcW w:w="13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(Excluding Cost of</w:t>
            </w:r>
          </w:p>
        </w:tc>
        <w:tc>
          <w:tcPr>
            <w:tcW w:w="0" w:type="dxa"/>
            <w:vAlign w:val="bottom"/>
          </w:tcPr>
          <w:p>
            <w:pPr>
              <w:spacing w:after="0"/>
              <w:rPr>
                <w:sz w:val="1"/>
                <w:szCs w:val="1"/>
                <w:color w:val="auto"/>
              </w:rPr>
            </w:pPr>
          </w:p>
        </w:tc>
      </w:tr>
      <w:tr>
        <w:trPr>
          <w:trHeight w:val="239"/>
        </w:trPr>
        <w:tc>
          <w:tcPr>
            <w:tcW w:w="16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Impairment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9"/>
              </w:rPr>
              <w:t>Intangibles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43"/>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center"/>
              <w:ind w:left="6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color w:val="auto"/>
        </w:rPr>
        <w:t>Page 12 of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36830</wp:posOffset>
            </wp:positionV>
            <wp:extent cx="6086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Total Significant</w:t>
            </w:r>
          </w:p>
        </w:tc>
      </w:tr>
      <w:tr>
        <w:trPr>
          <w:trHeight w:val="203"/>
        </w:trPr>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6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Stock-based</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Expenses</w:t>
            </w:r>
          </w:p>
        </w:tc>
      </w:tr>
      <w:tr>
        <w:trPr>
          <w:trHeight w:val="189"/>
        </w:trPr>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16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Impairment of</w:t>
            </w: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(Excluding Cost of</w:t>
            </w:r>
          </w:p>
        </w:tc>
      </w:tr>
      <w:tr>
        <w:trPr>
          <w:trHeight w:val="239"/>
        </w:trPr>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6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Expense</w:t>
            </w: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4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100" w:type="dxa"/>
            <w:vAlign w:val="bottom"/>
          </w:tcPr>
          <w:p>
            <w:pPr>
              <w:spacing w:after="0"/>
              <w:rPr>
                <w:sz w:val="20"/>
                <w:szCs w:val="20"/>
                <w:color w:val="auto"/>
              </w:rPr>
            </w:pPr>
          </w:p>
        </w:tc>
        <w:tc>
          <w:tcPr>
            <w:tcW w:w="12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Revenue)</w:t>
            </w:r>
          </w:p>
        </w:tc>
      </w:tr>
      <w:tr>
        <w:trPr>
          <w:trHeight w:val="250"/>
        </w:trPr>
        <w:tc>
          <w:tcPr>
            <w:tcW w:w="1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r>
      <w:tr>
        <w:trPr>
          <w:trHeight w:val="243"/>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7"/>
        </w:trPr>
        <w:tc>
          <w:tcPr>
            <w:tcW w:w="1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w:t>
            </w:r>
          </w:p>
        </w:tc>
      </w:tr>
      <w:tr>
        <w:trPr>
          <w:trHeight w:val="20"/>
        </w:trPr>
        <w:tc>
          <w:tcPr>
            <w:tcW w:w="1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601"/>
        </w:trPr>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80" w:type="dxa"/>
            <w:vAlign w:val="bottom"/>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
        </w:trPr>
        <w:tc>
          <w:tcPr>
            <w:tcW w:w="1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4"/>
        </w:trPr>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Total Significant</w:t>
            </w:r>
          </w:p>
        </w:tc>
      </w:tr>
      <w:tr>
        <w:trPr>
          <w:trHeight w:val="189"/>
        </w:trPr>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6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Stock-based</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Expenses</w:t>
            </w:r>
          </w:p>
        </w:tc>
      </w:tr>
      <w:tr>
        <w:trPr>
          <w:trHeight w:val="203"/>
        </w:trPr>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16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Impairment of</w:t>
            </w: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(Excluding Cost of</w:t>
            </w:r>
          </w:p>
        </w:tc>
      </w:tr>
      <w:tr>
        <w:trPr>
          <w:trHeight w:val="239"/>
        </w:trPr>
        <w:tc>
          <w:tcPr>
            <w:tcW w:w="16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Expense</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Revenue)</w:t>
            </w:r>
          </w:p>
        </w:tc>
      </w:tr>
      <w:tr>
        <w:trPr>
          <w:trHeight w:val="250"/>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r>
      <w:tr>
        <w:trPr>
          <w:trHeight w:val="243"/>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7"/>
        </w:trPr>
        <w:tc>
          <w:tcPr>
            <w:tcW w:w="1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r>
      <w:tr>
        <w:trPr>
          <w:trHeight w:val="20"/>
        </w:trPr>
        <w:tc>
          <w:tcPr>
            <w:tcW w:w="1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auto"/>
        </w:rPr>
        <w:t>Page 13 of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ANGI INC. PRINCIPLES OF FINANCIAL REPORTING</w:t>
      </w:r>
    </w:p>
    <w:p>
      <w:pPr>
        <w:spacing w:after="0" w:line="26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Angi Inc. reports Adjusted EBITDA and Free Cash Flow, which are supplemental measures to U.S. generally accepted accounting principles (“GAAP”). Adjusted EBITDA is considered its primary segment measure of profitability and is one of the metrics, along with Free Cash Flow, by which the Company evaluates the performance of its businesses, and on which its internal budgets are based, and may also impact management compensation. The Company believes that investors should have access to, and the Company is obligated to provide, the same set of tools that it uses in analyzing its results. These non-GAAP measures should be considered in addition to results prepared in accordance with GAAP but should not be considered a substitute for or superior to GAAP results. Angi Inc. endeavors to compensate for the limitations of the non-GAAP measures presented by providing the comparable GAAP measures with equal or greater prominence and descriptions of the reconciling items, including quantifying such items, to derive the non-GAAP measures. The Company encourages investors to examine the reconciling adjustments between the GAAP and non-GAAP measures, which are included in this release. Interim results are not necessarily indicative of the results that may be expected for a full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 of Non-GAAP Measures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u w:val="single" w:color="auto"/>
          <w:color w:val="auto"/>
        </w:rPr>
        <w:t>Adjusted Earnings Before Interest, Taxes, Depreciation and Amortization (Adjusted EBITDA)</w:t>
      </w:r>
      <w:r>
        <w:rPr>
          <w:rFonts w:ascii="Times New Roman" w:cs="Times New Roman" w:eastAsia="Times New Roman" w:hAnsi="Times New Roman"/>
          <w:sz w:val="18"/>
          <w:szCs w:val="18"/>
          <w:color w:val="auto"/>
        </w:rPr>
        <w:t xml:space="preserve"> is defined as operating income excluding: (1) stock-based compensation expense; (2) depreciation; (3) acquisition-related items consisting of amortization of intangible assets and impairments of goodwill and intangible assets, if applicable; and (4) restructuring. The Company believes this measure is useful for analysts and investors as this measure allows a more meaningful comparison between its performance and that of its competitors. Adjusted EBITDA has certain limitations because it excludes the impact of these expenses.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u w:val="single" w:color="auto"/>
          <w:color w:val="auto"/>
        </w:rPr>
        <w:t>Free Cash Flow</w:t>
      </w:r>
      <w:r>
        <w:rPr>
          <w:rFonts w:ascii="Times New Roman" w:cs="Times New Roman" w:eastAsia="Times New Roman" w:hAnsi="Times New Roman"/>
          <w:sz w:val="18"/>
          <w:szCs w:val="18"/>
          <w:color w:val="auto"/>
        </w:rPr>
        <w:t xml:space="preserve"> is defined as net cash provided by operating activities attributable to continuing operations, less capital expenditures. The Company believes Free Cash Flow is useful to analysts and investors because it represents the cash that the Company's operating businesses generate, before taking into account non-operational cash movements. Free Cash Flow has certain limitations in that it does not represent the total increase or decrease in the cash balance for the period, nor does it represent the residual cash flow for discretionary expenditures. For example, it does not take into account mandatory debt service requirements. Therefore, the Company thinks it is important to evaluate Free Cash Flow along with its consolidated statement of cash flows.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 of Significant Expenses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u w:val="single" w:color="auto"/>
          <w:color w:val="auto"/>
        </w:rPr>
        <w:t>Consumer Marketing Expense</w:t>
      </w:r>
      <w:r>
        <w:rPr>
          <w:rFonts w:ascii="Times New Roman" w:cs="Times New Roman" w:eastAsia="Times New Roman" w:hAnsi="Times New Roman"/>
          <w:sz w:val="18"/>
          <w:szCs w:val="18"/>
          <w:color w:val="auto"/>
        </w:rPr>
        <w:t xml:space="preserve"> includes (i) advertising expenditures to promote the brand to consumers with (a) online marketing, including fees paid to search engines and other online marketing platforms, partners who direct traffic to our brands, and app platforms, and (b) offline marketing, which is primarily television, streaming and radio advertising, (ii) compensation expense, excluding stock-based compensation, and other employee-related costs for consumer marketing personnel and (iii) outsourced personnel costs.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u w:val="single" w:color="auto"/>
          <w:color w:val="auto"/>
        </w:rPr>
        <w:t>Pro Acquisition Expense</w:t>
      </w:r>
      <w:r>
        <w:rPr>
          <w:rFonts w:ascii="Times New Roman" w:cs="Times New Roman" w:eastAsia="Times New Roman" w:hAnsi="Times New Roman"/>
          <w:sz w:val="18"/>
          <w:szCs w:val="18"/>
          <w:color w:val="auto"/>
        </w:rPr>
        <w:t xml:space="preserve"> includes (i) advertising expenditures to promote the brand to Pros with (a) online marketing, including fees paid to search engines and other online marketing platforms, partners who direct traffic to the brands within the Angi Inc. segments, and app platforms, and (b) offline marketing, which is primarily television, streaming and radio advertising and (ii) compensation expense, excluding stock-based compensation, and other employee-related costs for pro acquisition sales and marketing personnel.</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u w:val="single" w:color="auto"/>
          <w:color w:val="auto"/>
        </w:rPr>
        <w:t>Fixed Expense</w:t>
      </w:r>
      <w:r>
        <w:rPr>
          <w:rFonts w:ascii="Times New Roman" w:cs="Times New Roman" w:eastAsia="Times New Roman" w:hAnsi="Times New Roman"/>
          <w:sz w:val="18"/>
          <w:szCs w:val="18"/>
          <w:color w:val="auto"/>
        </w:rPr>
        <w:t xml:space="preserve"> includes (i) compensation expense, excluding stock-based compensation, and other employee-related costs for personnel engaged in (a) the design, development, testing, and enhancement of product offerings and related technology and (b) executive management, finance, legal, tax, marketing and human resources functions, (ii) software license and maintenance costs, (iii) rent expense and facilities costs (including impairments of ROU assets), (iv) fees for professional services and (v) outsourced personnel costs for personnel engaged in product development.</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Variable Expense</w:t>
      </w:r>
      <w:r>
        <w:rPr>
          <w:rFonts w:ascii="Times New Roman" w:cs="Times New Roman" w:eastAsia="Times New Roman" w:hAnsi="Times New Roman"/>
          <w:sz w:val="18"/>
          <w:szCs w:val="18"/>
          <w:color w:val="auto"/>
        </w:rPr>
        <w:t xml:space="preserve"> includes (i) compensation expense, excluding stock-based compensation, and other employee-related costs for personnel engaged in customer service functions, (ii) provision for credit losses, (iii) outsourced personnel costs for personnel engaged in assisting in customer service functions and (iv) service guarantee expense.</w:t>
      </w:r>
    </w:p>
    <w:p>
      <w:pPr>
        <w:sectPr>
          <w:pgSz w:w="11900" w:h="16838" w:orient="portrait"/>
          <w:cols w:equalWidth="0" w:num="1">
            <w:col w:w="11240"/>
          </w:cols>
          <w:pgMar w:left="320" w:top="121"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color w:val="auto"/>
        </w:rPr>
        <w:t>Page 14 of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Non-Cash Expenses That Are Excluded from Adjusted EBITDA</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u w:val="single" w:color="auto"/>
          <w:color w:val="auto"/>
        </w:rPr>
        <w:t>Stock-based compensation expense</w:t>
      </w:r>
      <w:r>
        <w:rPr>
          <w:rFonts w:ascii="Times New Roman" w:cs="Times New Roman" w:eastAsia="Times New Roman" w:hAnsi="Times New Roman"/>
          <w:sz w:val="18"/>
          <w:szCs w:val="18"/>
          <w:color w:val="auto"/>
        </w:rPr>
        <w:t xml:space="preserve"> consists of expense associated with the grants, including unvested grants assumed in acquisitions, of stock appreciation rights ("SARs"), restricted stock units ("RSUs"), stock options and performance-based RSUs, and market-based awards. These expenses are not paid in cash, and we view the economic costs of stock-based awards to be the dilution to our share base; we also include the related shares in our fully diluted shares outstanding for GAAP earnings per share using the treasury stock method, to the extent dilutive. Performance-based RSUs and market-based awards are included only to the extent the applicable performance or market condition(s) have been met (assuming the end of the reporting period is the end of the contingency period). The Company is currently settling all stock-based awards on a net basis and remits the required tax-withholding amounts from its current funds.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page </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auto"/>
        </w:rPr>
        <w:t xml:space="preserve"> for a summary of our dilutive securities as of October 30, 2026, and a description of the calculation methodology.</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Depreciation</w:t>
      </w:r>
      <w:r>
        <w:rPr>
          <w:rFonts w:ascii="Times New Roman" w:cs="Times New Roman" w:eastAsia="Times New Roman" w:hAnsi="Times New Roman"/>
          <w:sz w:val="18"/>
          <w:szCs w:val="18"/>
          <w:color w:val="auto"/>
        </w:rPr>
        <w:t xml:space="preserve"> is a non-cash expense relating to our capitalized software, leasehold improvements, and equipment and is computed using the straight-line method to allocate the cost of depreciable assets to operations over their estimated useful lives, or, in the case of leasehold improvements, the lease term, if shorter.</w:t>
      </w:r>
    </w:p>
    <w:p>
      <w:pPr>
        <w:spacing w:after="0" w:line="2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u w:val="single" w:color="auto"/>
          <w:color w:val="auto"/>
        </w:rPr>
        <w:t>Amortization of intangible assets and impairments of goodwill and intangible assets</w:t>
      </w:r>
      <w:r>
        <w:rPr>
          <w:rFonts w:ascii="Times New Roman" w:cs="Times New Roman" w:eastAsia="Times New Roman" w:hAnsi="Times New Roman"/>
          <w:sz w:val="18"/>
          <w:szCs w:val="18"/>
          <w:color w:val="auto"/>
        </w:rPr>
        <w:t xml:space="preserve"> are non-cash expenses related primarily to acquisitions. At the time of an acquisition, the identifiable definite-lived intangible assets of the acquired company, such as professional relationships, technology, and trade names, are valued and amortized over their estimated lives. Value is also assigned to acquired indefinite-lived intangible assets, which comprise trade names and trademarks, and goodwill that are not subject to amortization. An impairment is recorded when the carrying value of an intangible asset or goodwill exceeds its fair value. We believe that intangible assets represent costs incurred by the acquired company to build value prior to acquisition and the related amortization and impairments of intangible assets or goodwill, if applicable, are not ongoing costs of doing business.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Restructuring</w:t>
      </w:r>
      <w:r>
        <w:rPr>
          <w:rFonts w:ascii="Times New Roman" w:cs="Times New Roman" w:eastAsia="Times New Roman" w:hAnsi="Times New Roman"/>
          <w:sz w:val="18"/>
          <w:szCs w:val="18"/>
          <w:color w:val="auto"/>
        </w:rPr>
        <w:t xml:space="preserve"> consists of costs associated with a formal restructuring plan that are primarily related to workforce reductions. The Company excludes these expenses because they are not reflective of ordinary course ongoing business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Metric Definitions</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Service Requests </w:t>
      </w:r>
      <w:r>
        <w:rPr>
          <w:rFonts w:ascii="Times New Roman" w:cs="Times New Roman" w:eastAsia="Times New Roman" w:hAnsi="Times New Roman"/>
          <w:sz w:val="18"/>
          <w:szCs w:val="18"/>
          <w:color w:val="auto"/>
        </w:rPr>
        <w:t>– requests for connections with Pros in the period, which include pre-priced offerings and indications of interest expressed on a Pro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profile.</w:t>
      </w:r>
    </w:p>
    <w:p>
      <w:pPr>
        <w:spacing w:after="0" w:line="18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Leads </w:t>
      </w:r>
      <w:r>
        <w:rPr>
          <w:rFonts w:ascii="Times New Roman" w:cs="Times New Roman" w:eastAsia="Times New Roman" w:hAnsi="Times New Roman"/>
          <w:sz w:val="18"/>
          <w:szCs w:val="18"/>
          <w:color w:val="auto"/>
        </w:rPr>
        <w:t>– connections between consumers and Pros resulting from a Service Request in the period, including the completion of a job related to a pre-priced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a single Service Request can result in multiple Leads.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Proprietary </w:t>
      </w:r>
      <w:r>
        <w:rPr>
          <w:rFonts w:ascii="Times New Roman" w:cs="Times New Roman" w:eastAsia="Times New Roman" w:hAnsi="Times New Roman"/>
          <w:sz w:val="18"/>
          <w:szCs w:val="18"/>
          <w:color w:val="auto"/>
        </w:rPr>
        <w:t>– refers to sources of Service Requests in which consumers go through an Angi proprietary user experience or a retail partner experience.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Network </w:t>
      </w:r>
      <w:r>
        <w:rPr>
          <w:rFonts w:ascii="Times New Roman" w:cs="Times New Roman" w:eastAsia="Times New Roman" w:hAnsi="Times New Roman"/>
          <w:sz w:val="18"/>
          <w:szCs w:val="18"/>
          <w:color w:val="auto"/>
        </w:rPr>
        <w:t>– refers to sources of Service Requests in which consumers are presented with Angi Pros through a third party website experience.</w:t>
      </w:r>
    </w:p>
    <w:p>
      <w:pPr>
        <w:spacing w:after="0" w:line="23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U.S. Revenue </w:t>
      </w:r>
      <w:r>
        <w:rPr>
          <w:rFonts w:ascii="Times New Roman" w:cs="Times New Roman" w:eastAsia="Times New Roman" w:hAnsi="Times New Roman"/>
          <w:sz w:val="18"/>
          <w:szCs w:val="18"/>
          <w:color w:val="auto"/>
        </w:rPr>
        <w:t>– comprised of revenue generated within the U.S. segment, including Lead revenue for consumer matches, revenue from Pros under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advertising, membership subscription revenue from Pros and consumers, and revenue from pre-priced offerings by which the consumer requests services through a Company platform and the Company connects them with a Pro to perform the service.</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International Revenue </w:t>
      </w:r>
      <w:r>
        <w:rPr>
          <w:rFonts w:ascii="Times New Roman" w:cs="Times New Roman" w:eastAsia="Times New Roman" w:hAnsi="Times New Roman"/>
          <w:sz w:val="18"/>
          <w:szCs w:val="18"/>
          <w:color w:val="auto"/>
        </w:rPr>
        <w:t>– comprised of revenue generated within the International segment (consisting of businesses in Europe and Canada),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 revenue for consumer matches and membership subscription revenue from Pros.</w:t>
      </w:r>
    </w:p>
    <w:p>
      <w:pPr>
        <w:spacing w:after="0" w:line="18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Proprietary Revenue </w:t>
      </w:r>
      <w:r>
        <w:rPr>
          <w:rFonts w:ascii="Times New Roman" w:cs="Times New Roman" w:eastAsia="Times New Roman" w:hAnsi="Times New Roman"/>
          <w:sz w:val="18"/>
          <w:szCs w:val="18"/>
          <w:color w:val="auto"/>
        </w:rPr>
        <w:t>– the portion of U.S. Revenue allocated to Proprietary channels, calculated based on the proportionate share of Leads originating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Proprietary channels in the period.</w:t>
      </w:r>
    </w:p>
    <w:p>
      <w:pPr>
        <w:spacing w:after="0" w:line="19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Network Revenue </w:t>
      </w:r>
      <w:r>
        <w:rPr>
          <w:rFonts w:ascii="Times New Roman" w:cs="Times New Roman" w:eastAsia="Times New Roman" w:hAnsi="Times New Roman"/>
          <w:sz w:val="18"/>
          <w:szCs w:val="18"/>
          <w:color w:val="auto"/>
        </w:rPr>
        <w:t>– the portion of U.S. Revenue allocated to Network channels, calculated based on the proportionate share of Leads originating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 channels in the period.</w:t>
      </w:r>
    </w:p>
    <w:p>
      <w:pPr>
        <w:sectPr>
          <w:pgSz w:w="11900" w:h="16838" w:orient="portrait"/>
          <w:cols w:equalWidth="0" w:num="1">
            <w:col w:w="11240"/>
          </w:cols>
          <w:pgMar w:left="320" w:top="121"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color w:val="auto"/>
        </w:rPr>
        <w:t>Page 15 of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Large Pro Revenue – </w:t>
      </w:r>
      <w:r>
        <w:rPr>
          <w:rFonts w:ascii="Times New Roman" w:cs="Times New Roman" w:eastAsia="Times New Roman" w:hAnsi="Times New Roman"/>
          <w:sz w:val="18"/>
          <w:szCs w:val="18"/>
          <w:color w:val="auto"/>
        </w:rPr>
        <w:t>an estimate of the portion of U.S. Revenue generated from Pros classified within the Company’s account-management structure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large Pros. The Large Pro classification generally reflects expected or committed annualized spend with Angi of at least $50,000, together with other account-management considerations. Revenue components not recorded by customer category are allocated based on the relative share of directly attributable gross Lead revenue generated by each customer category for the applicable period. This measure currently includes only Pros participating through the Company's pay-per-lead offering.</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Beginning in Q3 2026, the Company no longer presents this measure together with National Partnerships, which are broader commercial relationships between Angi and franchisors, trade associations or other Pro networks through which their franchisees, members or affiliated Pros participate on Angi’s platform. Management now reviews National Partnerships together with its small-and-medium-sized business Pros.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per Lead </w:t>
      </w:r>
      <w:r>
        <w:rPr>
          <w:rFonts w:ascii="Times New Roman" w:cs="Times New Roman" w:eastAsia="Times New Roman" w:hAnsi="Times New Roman"/>
          <w:sz w:val="18"/>
          <w:szCs w:val="18"/>
          <w:color w:val="auto"/>
        </w:rPr>
        <w:t>– U.S. Revenue (unless noted otherwise) divided by Leads.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Acquired Pros </w:t>
      </w:r>
      <w:r>
        <w:rPr>
          <w:rFonts w:ascii="Times New Roman" w:cs="Times New Roman" w:eastAsia="Times New Roman" w:hAnsi="Times New Roman"/>
          <w:sz w:val="18"/>
          <w:szCs w:val="18"/>
          <w:color w:val="auto"/>
        </w:rPr>
        <w:t>– new Pros onboarded onto the Angi platform and eligible to receive Leads in the period.</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Average Monthly Active Pros </w:t>
      </w:r>
      <w:r>
        <w:rPr>
          <w:rFonts w:ascii="Times New Roman" w:cs="Times New Roman" w:eastAsia="Times New Roman" w:hAnsi="Times New Roman"/>
          <w:sz w:val="18"/>
          <w:szCs w:val="18"/>
          <w:color w:val="auto"/>
        </w:rPr>
        <w:t>– the average number of Pros per month that (i) received Leads, (ii) were presented on a Service Request where they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receive a Lead if selected, (iii) requested to be connected to a consumer on a Service Request, or (iv) accepted an offer to complete a pre-priced Service Request.</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ANGI Group Senior Notes </w:t>
      </w:r>
      <w:r>
        <w:rPr>
          <w:rFonts w:ascii="Times New Roman" w:cs="Times New Roman" w:eastAsia="Times New Roman" w:hAnsi="Times New Roman"/>
          <w:sz w:val="18"/>
          <w:szCs w:val="18"/>
          <w:color w:val="auto"/>
        </w:rPr>
        <w:t>– on August 20, 2020, ANGI Group, LLC (“ANGI Group”), a direct wholly-owned subsidiary of the Company, issued $500.0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of its 3.875% Senior Notes due August 15, 2028, with interest payable February 15 and August 15 of each year.</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Revolving Facility </w:t>
      </w:r>
      <w:r>
        <w:rPr>
          <w:rFonts w:ascii="Times New Roman" w:cs="Times New Roman" w:eastAsia="Times New Roman" w:hAnsi="Times New Roman"/>
          <w:sz w:val="18"/>
          <w:szCs w:val="18"/>
          <w:color w:val="auto"/>
        </w:rPr>
        <w:t>– a senior secured revolving facility of ANGI Group in an aggregate principal amount of $175.0 million, including a letter of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sublimit of up to $25.0 million.</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Average Monthly Churn </w:t>
      </w:r>
      <w:r>
        <w:rPr>
          <w:rFonts w:ascii="Times New Roman" w:cs="Times New Roman" w:eastAsia="Times New Roman" w:hAnsi="Times New Roman"/>
          <w:sz w:val="18"/>
          <w:szCs w:val="18"/>
          <w:color w:val="auto"/>
        </w:rPr>
        <w:t>– the average of the monthly churn rates during the period, calculated as (Active Pros in the current month that were acquired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months divided by Active Pros in the prior month)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i w:val="1"/>
          <w:i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Safe Harbor Statement Under the Private Securities Litigation Reform Act of 1995</w:t>
      </w:r>
    </w:p>
    <w:p>
      <w:pPr>
        <w:spacing w:after="0" w:line="201" w:lineRule="exact"/>
        <w:rPr>
          <w:sz w:val="20"/>
          <w:szCs w:val="20"/>
          <w:color w:val="auto"/>
        </w:rPr>
      </w:pPr>
    </w:p>
    <w:p>
      <w:pPr>
        <w:jc w:val="both"/>
        <w:spacing w:after="0" w:line="188" w:lineRule="exact"/>
        <w:rPr>
          <w:sz w:val="20"/>
          <w:szCs w:val="20"/>
          <w:color w:val="auto"/>
        </w:rPr>
      </w:pPr>
      <w:r>
        <w:rPr>
          <w:rFonts w:ascii="Times New Roman" w:cs="Times New Roman" w:eastAsia="Times New Roman" w:hAnsi="Times New Roman"/>
          <w:sz w:val="16"/>
          <w:szCs w:val="16"/>
          <w:color w:val="auto"/>
        </w:rPr>
        <w:t>This press release and our conference call, which will be held at 8:30 a.m. Eastern Time on Wednesday, November 4, 2026, may contain "forward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looking statements" within the meaning of the Private Securities Litigation Reform Act of 1995. The use of words such as "may," "will," "should," "could," "intend," "target," "project," "continue," "anticipate," "estimate," "expect," "plan," "believe," "opportunity" and "potential" among others, generally identify forward-looking statements. These forward-looking statements include, among others, statements relating to: the future financial performance of the Company and its businesses, the Company's plans and expectations concerning debt instruments, business prospects and strategy, the timing, development, and expected outcome of strategic and product initiatives, including Angi Pro Chief Revenue Officer and LLM integrations, use of AI within our internal operations, future capital allocation strategy, anticipated trends and prospects in the home services industry, anticipated restructuring charges, timing and savings and other similar matters. Actual results could differ materially from those contained in these forward-looking statements for a variety of reasons, including, among others: (i) the continued migration of the home services market online, (ii) our ability to market our various products and services in a successful and cost-effective manner, (iii) the continued prominence of the display of links to websites offering our products and services in search results,</w:t>
      </w:r>
    </w:p>
    <w:p>
      <w:pPr>
        <w:spacing w:after="0" w:line="4" w:lineRule="exact"/>
        <w:rPr>
          <w:sz w:val="20"/>
          <w:szCs w:val="20"/>
          <w:color w:val="auto"/>
        </w:rPr>
      </w:pPr>
    </w:p>
    <w:p>
      <w:pPr>
        <w:jc w:val="both"/>
        <w:ind w:firstLine="8"/>
        <w:spacing w:after="0" w:line="238" w:lineRule="auto"/>
        <w:tabs>
          <w:tab w:leader="none" w:pos="29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our pre-priced offerings, while balancing the overall mix of Service Requests and directory services on Angi Inc. platforms, (v) our ability to establish and maintain relationships with quality and trustworthy Pros, (vi) our continued ability to develop and monetize versions of our products and services for mobile and other digital devices, (vii) our ability to access, share, use and protect the personal data of consumers, (viii) our continued ability to communicate with consumers and Pros via e-mail (or other sufficient means), (ix) our ability to continue to generate Leads for Pros given changing requirements applicable to certain communications with consumers, (x) any challenge to the contractor classification or employment status of our Pros, (xi) our ability to compete, (xii) unstable market and economic conditions (particularly those that adversely impact advertising spending levels and consumer confidence and spending behavior), either generally and/or in any of the markets in which our businesses operate, as well as geopolitical conflicts, (xiii) our ability to maintain and/or enhance our various brands, (xiv) our ability to protect our systems, technology, and infrastructure from cyberattacks (including cyberattacks experienced by third parties with whom we do business), (xv) the occurrence of data security breaches and/or</w:t>
      </w:r>
    </w:p>
    <w:p>
      <w:pPr>
        <w:sectPr>
          <w:pgSz w:w="11900" w:h="16838" w:orient="portrait"/>
          <w:cols w:equalWidth="0" w:num="1">
            <w:col w:w="11240"/>
          </w:cols>
          <w:pgMar w:left="320" w:top="121"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color w:val="auto"/>
        </w:rPr>
        <w:t>Page 16 of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fraud, (xvi) increased liabilities and costs related to the processing, storage, use, and disclosure of personal and confidential user information, (xvii) the integrity, quality, efficiency, and scalability of our systems, technology, and infrastructures (and those of third parties with whom we do business), (xviii) changes in key personnel and any resulting changes to our business strategy (xix) our development and use of AI and machine learning technologies and the related legal and regulatory developments, (xx) various risks related to our relationship with IAC following the spin-off, (xxi) our ability to generate sufficient cash to service our indebtedness, (xxii) the impact of our current and future indebtedness on our ability to obtain additional financing and pursue other business opportunities, (xxiii) potential impairments of our goodwill and indefinite-lived intangible assets, (xxiv) the impact of our credit rating downgrades on our financing costs, liquidity and ability to refinance our debt and (xxv) certain risks related to ownership of our Class A common stock. Certain of these and other risks and uncertainties are discussed in Angi Inc.’s filings with the Securities and Exchange Commission (the "SEC"), including the most recent Annual Report on Form 10-K filed with the SEC on February 20, 2026, and subsequent reports that Angi Inc. files with the SEC. Other unknown or unpredictable factors that could also adversely affect Angi Inc.’s business, financial condition, and results of operations may arise from time to time. It is not possible for our management to predict all risks, nor can we assess the impact of all factors on our business or the extent to which any factor, or combination of factors, may cause actual results to differ materially from those expressed in any forward-looking statements we may make. Except as required by law, we undertake no obligation to update any forward-looking statements to reflect events or circumstances after the date of such statements. You should, therefore, not rely on these forward-looking statements as representing our views as of any date subsequent to the date of this press release.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Angi Inc.</w:t>
      </w: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Angi (NASDAQ: ANGI) helps homeowners get home projects done well and helps home service professionals grow their businesses. Founded in 1995, Angi connects homeowners with skilled local professionals, from plumbers and electricians to remodelers and landscapers, and provides tools for researching costs, planning projects and hiring with confidence. Homeowners have turned to Angi and its vast network of skilled home pros for help with more than 300 million projects.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Contact Us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Angi Inc. Investor Relations</w:t>
      </w:r>
    </w:p>
    <w:p>
      <w:pPr>
        <w:spacing w:after="0" w:line="17"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282-1958</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ir@angi.com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Angi Inc. Corporate Communications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(303) 963-8352</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Angi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3601 Walnut Street, Denver, CO 80205 (303) 963-7200 </w:t>
      </w:r>
      <w:r>
        <w:rPr>
          <w:rFonts w:ascii="Times New Roman" w:cs="Times New Roman" w:eastAsia="Times New Roman" w:hAnsi="Times New Roman"/>
          <w:sz w:val="16"/>
          <w:szCs w:val="16"/>
          <w:color w:val="0000FF"/>
        </w:rPr>
        <w:t>http://www.angi.com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4"/>
    </w:lvl>
  </w:abstractNum>
  <w:abstractNum w:abstractNumId="5">
    <w:nsid w:val="507ED7AB"/>
    <w:multiLevelType w:val="hybridMultilevel"/>
    <w:lvl w:ilvl="0">
      <w:lvlJc w:val="left"/>
      <w:lvlText w:val="(%1)"/>
      <w:numFmt w:val="decimal"/>
      <w:start w:val="720"/>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2026-11-03T15:13:26Z</dcterms:created>
  <dcterms:modified xsi:type="dcterms:W3CDTF">2026-11-03T15:13:26Z</dcterms:modified>
</cp:coreProperties>
</file>