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10, 2026</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Angi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60"/>
          </w:cols>
          <w:pgMar w:left="320" w:top="1388" w:right="319" w:bottom="1440" w:gutter="0" w:footer="0" w:header="0"/>
        </w:sectPr>
      </w:pPr>
    </w:p>
    <w:p>
      <w:pPr>
        <w:spacing w:after="0" w:line="255"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001-38220</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82-1204801</w:t>
      </w:r>
    </w:p>
    <w:p>
      <w:pPr>
        <w:spacing w:after="0" w:line="92" w:lineRule="exact"/>
        <w:rPr>
          <w:sz w:val="24"/>
          <w:szCs w:val="24"/>
          <w:color w:val="auto"/>
        </w:rPr>
      </w:pPr>
    </w:p>
    <w:p>
      <w:pPr>
        <w:sectPr>
          <w:pgSz w:w="11900" w:h="16838" w:orient="portrait"/>
          <w:cols w:equalWidth="0" w:num="3">
            <w:col w:w="4500" w:space="720"/>
            <w:col w:w="2820" w:space="720"/>
            <w:col w:w="2500"/>
          </w:cols>
          <w:pgMar w:left="320" w:top="1388" w:right="31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660" w:space="720"/>
            <w:col w:w="2740"/>
          </w:cols>
          <w:pgMar w:left="320" w:top="1388" w:right="319" w:bottom="1440" w:gutter="0" w:footer="0" w:header="0"/>
          <w:type w:val="continuous"/>
        </w:sectPr>
      </w:pPr>
    </w:p>
    <w:p>
      <w:pPr>
        <w:spacing w:after="0" w:line="30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3601 Walnut Street, Suite 700</w:t>
      </w:r>
    </w:p>
    <w:p>
      <w:pPr>
        <w:sectPr>
          <w:pgSz w:w="11900" w:h="16838" w:orient="portrait"/>
          <w:cols w:equalWidth="0" w:num="1">
            <w:col w:w="11260"/>
          </w:cols>
          <w:pgMar w:left="320" w:top="1388" w:right="319" w:bottom="1440" w:gutter="0" w:footer="0" w:header="0"/>
          <w:type w:val="continuous"/>
        </w:sectPr>
      </w:pPr>
    </w:p>
    <w:p>
      <w:pPr>
        <w:spacing w:after="0" w:line="7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Denver, CO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80205</w:t>
      </w:r>
    </w:p>
    <w:p>
      <w:pPr>
        <w:spacing w:after="0" w:line="92" w:lineRule="exact"/>
        <w:rPr>
          <w:sz w:val="24"/>
          <w:szCs w:val="24"/>
          <w:color w:val="auto"/>
        </w:rPr>
      </w:pPr>
    </w:p>
    <w:p>
      <w:pPr>
        <w:sectPr>
          <w:pgSz w:w="11900" w:h="16838" w:orient="portrait"/>
          <w:cols w:equalWidth="0" w:num="2">
            <w:col w:w="7800" w:space="720"/>
            <w:col w:w="2740"/>
          </w:cols>
          <w:pgMar w:left="320" w:top="1388" w:right="319"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620" w:space="720"/>
            <w:col w:w="2920"/>
          </w:cols>
          <w:pgMar w:left="320" w:top="1388" w:right="319" w:bottom="1440" w:gutter="0" w:footer="0" w:header="0"/>
          <w:type w:val="continuous"/>
        </w:sectPr>
      </w:pPr>
    </w:p>
    <w:p>
      <w:pPr>
        <w:spacing w:after="0" w:line="25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963-7200</w:t>
      </w:r>
    </w:p>
    <w:p>
      <w:pPr>
        <w:spacing w:after="0" w:line="12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87"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3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ANGI</w:t>
            </w: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83"/>
        </w:trPr>
        <w:tc>
          <w:tcPr>
            <w:tcW w:w="42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bl>
    <w:p>
      <w:pPr>
        <w:spacing w:after="0" w:line="400" w:lineRule="exact"/>
        <w:rPr>
          <w:sz w:val="24"/>
          <w:szCs w:val="24"/>
          <w:color w:val="auto"/>
        </w:rPr>
      </w:pPr>
    </w:p>
    <w:p>
      <w:pPr>
        <w:jc w:val="both"/>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88" w:right="319" w:bottom="1440" w:gutter="0" w:footer="0" w:header="0"/>
          <w:type w:val="continuous"/>
        </w:sectPr>
      </w:pPr>
    </w:p>
    <w:bookmarkStart w:id="1" w:name="page2"/>
    <w:bookmarkEnd w:id="1"/>
    <w:p>
      <w:pPr>
        <w:spacing w:after="0" w:line="3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00" w:lineRule="exact"/>
        <w:rPr>
          <w:sz w:val="20"/>
          <w:szCs w:val="20"/>
          <w:color w:val="auto"/>
        </w:rPr>
      </w:pPr>
    </w:p>
    <w:p>
      <w:pPr>
        <w:spacing w:after="0" w:line="27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 xml:space="preserve">On February 10, 2026, the Registrant announced that it had released its results for the quarter ended December 31, 2025. The full text of the related press release, which is posted on the "Investor Relations" section of the Registrant's website at </w:t>
      </w:r>
      <w:r>
        <w:rPr>
          <w:rFonts w:ascii="Times New Roman" w:cs="Times New Roman" w:eastAsia="Times New Roman" w:hAnsi="Times New Roman"/>
          <w:sz w:val="18"/>
          <w:szCs w:val="18"/>
          <w:i w:val="1"/>
          <w:iCs w:val="1"/>
          <w:color w:val="auto"/>
        </w:rPr>
        <w:t>https://ir.angi.com/quarterly-earnings</w:t>
      </w:r>
      <w:r>
        <w:rPr>
          <w:rFonts w:ascii="Times New Roman" w:cs="Times New Roman" w:eastAsia="Times New Roman" w:hAnsi="Times New Roman"/>
          <w:sz w:val="18"/>
          <w:szCs w:val="18"/>
          <w:color w:val="auto"/>
        </w:rPr>
        <w:t xml:space="preserve"> and appears in Exhibit 99.1 hereto, is incorporated herein by reference.</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Exhibit 99.1 is being furnished under both Item 2.02 "Results of Operations and Financial Condition" and Item 7.01 "Regulation FD Disclosure."</w:t>
      </w:r>
    </w:p>
    <w:p>
      <w:pPr>
        <w:spacing w:after="0" w:line="10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Exhibit 99.1 furnished herewith, shall not be deemed “filed” for purposes of Section 18 of the Securities Exchange Act of 1934, as amended (the “Exchange Act”), or otherwise subject to the liabilities of such section and shall not be deemed incorporated by reference in any filing under the Securities Act of 1933, as amended, or the Exchange Act, except as shall be expressly set forth by specific reference in such a filing.</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1440" w:right="339" w:bottom="1440" w:gutter="0" w:footer="0" w:header="0"/>
        </w:sect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52705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4960" w:space="720"/>
            <w:col w:w="5560"/>
          </w:cols>
          <w:pgMar w:left="320" w:top="1440"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99.1 Press Release of Angi Inc., dated February 10, 2026.</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104 Cover Page Interactive Data File (embedded within the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ANGI INC.</w:t>
            </w:r>
          </w:p>
        </w:tc>
        <w:tc>
          <w:tcPr>
            <w:tcW w:w="3260" w:type="dxa"/>
            <w:vAlign w:val="bottom"/>
          </w:tcPr>
          <w:p>
            <w:pPr>
              <w:spacing w:after="0"/>
              <w:rPr>
                <w:sz w:val="20"/>
                <w:szCs w:val="20"/>
                <w:color w:val="auto"/>
              </w:rPr>
            </w:pPr>
          </w:p>
        </w:tc>
      </w:tr>
      <w:tr>
        <w:trPr>
          <w:trHeight w:val="53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Shannon M. Shaw</w:t>
            </w: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M. Shaw</w:t>
            </w:r>
          </w:p>
        </w:tc>
      </w:tr>
      <w:tr>
        <w:trPr>
          <w:trHeight w:val="25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10, 2026</w:t>
      </w:r>
    </w:p>
    <w:p>
      <w:pPr>
        <w:sectPr>
          <w:pgSz w:w="11900" w:h="16838" w:orient="portrait"/>
          <w:cols w:equalWidth="0" w:num="1">
            <w:col w:w="11240"/>
          </w:cols>
          <w:pgMar w:left="320" w:top="125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Page 1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702945</wp:posOffset>
            </wp:positionV>
            <wp:extent cx="1148715"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871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ANGI REPORTS Q4 2025</w:t>
      </w:r>
    </w:p>
    <w:p>
      <w:pPr>
        <w:jc w:val="center"/>
        <w:spacing w:after="0" w:line="237" w:lineRule="auto"/>
        <w:rPr>
          <w:sz w:val="20"/>
          <w:szCs w:val="20"/>
          <w:color w:val="auto"/>
        </w:rPr>
      </w:pPr>
      <w:r>
        <w:rPr>
          <w:rFonts w:ascii="Times New Roman" w:cs="Times New Roman" w:eastAsia="Times New Roman" w:hAnsi="Times New Roman"/>
          <w:sz w:val="19"/>
          <w:szCs w:val="19"/>
          <w:i w:val="1"/>
          <w:iCs w:val="1"/>
          <w:color w:val="auto"/>
        </w:rPr>
        <w:t>Q4'25 Operating income grew 175% and Adjusted EBITDA grew 25%</w:t>
      </w:r>
    </w:p>
    <w:p>
      <w:pPr>
        <w:jc w:val="center"/>
        <w:spacing w:after="0"/>
        <w:rPr>
          <w:sz w:val="20"/>
          <w:szCs w:val="20"/>
          <w:color w:val="auto"/>
        </w:rPr>
      </w:pPr>
      <w:r>
        <w:rPr>
          <w:rFonts w:ascii="Times New Roman" w:cs="Times New Roman" w:eastAsia="Times New Roman" w:hAnsi="Times New Roman"/>
          <w:sz w:val="19"/>
          <w:szCs w:val="19"/>
          <w:i w:val="1"/>
          <w:iCs w:val="1"/>
          <w:color w:val="auto"/>
        </w:rPr>
        <w:t>FY'25 Operating income of $65 million and Adjusted EBITDA of $140 million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Angi repurchased 19.9% of its shares outstanding since its spin-off from IAC</w:t>
      </w:r>
    </w:p>
    <w:p>
      <w:pPr>
        <w:spacing w:after="0" w:line="226"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9"/>
          <w:szCs w:val="19"/>
          <w:color w:val="auto"/>
        </w:rPr>
        <w:t xml:space="preserve">DENVER — February 10, 2026 — Angi Inc. (NASDAQ: ANGI) released its fourth quarter results today and separately posted a letter to shareholders from Jeff Kip, the Chief Executive Officer of Angi Inc., on the Investor Relations section of Angi Inc.’s website at </w:t>
      </w:r>
      <w:r>
        <w:rPr>
          <w:rFonts w:ascii="Times New Roman" w:cs="Times New Roman" w:eastAsia="Times New Roman" w:hAnsi="Times New Roman"/>
          <w:sz w:val="19"/>
          <w:szCs w:val="19"/>
          <w:u w:val="single" w:color="auto"/>
          <w:color w:val="0000FF"/>
        </w:rPr>
        <w:t>ir.angi.com</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161925</wp:posOffset>
            </wp:positionV>
            <wp:extent cx="5615305" cy="1645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15305" cy="1645920"/>
                    </a:xfrm>
                    <a:prstGeom prst="rect">
                      <a:avLst/>
                    </a:prstGeom>
                    <a:noFill/>
                  </pic:spPr>
                </pic:pic>
              </a:graphicData>
            </a:graphic>
          </wp:anchor>
        </w:drawing>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 INC. SUMMARY RESULTS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p>
      <w:pPr>
        <w:spacing w:after="0" w:line="75"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32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4"/>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21"/>
                <w:szCs w:val="2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2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21"/>
                <w:szCs w:val="2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Pr>
          <w:p>
            <w:pPr>
              <w:spacing w:after="0"/>
              <w:rPr>
                <w:sz w:val="21"/>
                <w:szCs w:val="21"/>
                <w:color w:val="auto"/>
              </w:rPr>
            </w:pPr>
          </w:p>
        </w:tc>
      </w:tr>
      <w:tr>
        <w:trPr>
          <w:trHeight w:val="27"/>
        </w:trPr>
        <w:tc>
          <w:tcPr>
            <w:tcW w:w="3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 xml:space="preserve">See reconciliations of GAAP to non-GAAP measures beginning on page </w:t>
      </w:r>
      <w:r>
        <w:rPr>
          <w:rFonts w:ascii="Times New Roman" w:cs="Times New Roman" w:eastAsia="Times New Roman" w:hAnsi="Times New Roman"/>
          <w:sz w:val="18"/>
          <w:szCs w:val="18"/>
          <w:i w:val="1"/>
          <w:iCs w:val="1"/>
          <w:u w:val="single" w:color="auto"/>
          <w:color w:val="0000FF"/>
        </w:rPr>
        <w:t>10</w:t>
      </w:r>
      <w:r>
        <w:rPr>
          <w:rFonts w:ascii="Times New Roman" w:cs="Times New Roman" w:eastAsia="Times New Roman" w:hAnsi="Times New Roman"/>
          <w:sz w:val="18"/>
          <w:szCs w:val="18"/>
          <w:i w:val="1"/>
          <w:iCs w:val="1"/>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Q4 2025 PERFORMANCE AND UPDATES</w:t>
      </w:r>
    </w:p>
    <w:p>
      <w:pPr>
        <w:spacing w:after="0" w:line="130" w:lineRule="exact"/>
        <w:rPr>
          <w:sz w:val="20"/>
          <w:szCs w:val="20"/>
          <w:color w:val="auto"/>
        </w:rPr>
      </w:pPr>
    </w:p>
    <w:p>
      <w:pPr>
        <w:jc w:val="both"/>
        <w:ind w:left="34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down (10)% from the prior year due primarily to a (79)% decrease in Network Revenue as a result of the implementation of homeowner choice in January 2025, partially offset by a 23% increase in Proprietary Revenue from strong execution in paid marketing in Proprietary channels. Following the successful completion of the transition to homeowner choice, Angi continues to expect to return to revenue growth for fiscal year 2026.</w:t>
      </w:r>
    </w:p>
    <w:p>
      <w:pPr>
        <w:spacing w:after="0" w:line="122" w:lineRule="exact"/>
        <w:rPr>
          <w:rFonts w:ascii="Times New Roman" w:cs="Times New Roman" w:eastAsia="Times New Roman" w:hAnsi="Times New Roman"/>
          <w:sz w:val="18"/>
          <w:szCs w:val="18"/>
          <w:color w:val="auto"/>
        </w:rPr>
      </w:pPr>
    </w:p>
    <w:p>
      <w:pPr>
        <w:jc w:val="both"/>
        <w:ind w:left="340" w:right="20" w:hanging="332"/>
        <w:spacing w:after="0" w:line="245"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Requests decreased (4)% and Leads decreased (9)% year-over-year in Q4 2025. Proprietary Service Requests increased 15% year-over-year and Proprietary Leads increased 25% year-over-year in Q4 2025, primarily driven by improvements in customer experience and strong performance in performance marketing. Network Service Requests declined (69)% and Network Leads declined (78)% year-over-year in the fourth quarter driven by the implementation of homeowner choice in January of 2025.</w:t>
      </w:r>
    </w:p>
    <w:p>
      <w:pPr>
        <w:spacing w:after="0" w:line="126"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Lead decreased (2)% year-over-year in Q4 2025 vs. an increase of 11% in Q3 2025, primarily driven by delivering additional Leads to subscription Pros in excess of their contract values.</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$5.9 million, up from $2.2 million in Q4 2024, which reflects a $12.8 million restructuring expense due to a reduction of the Company’s global workforce, a $7.1 million decrease in depreciation due primarily to lower capitalized software and real estate-related write-offs in 2024, and a $0.7 million decrease in stock-based compensation expense.</w:t>
      </w:r>
    </w:p>
    <w:p>
      <w:pPr>
        <w:spacing w:after="0" w:line="109"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$39.7 million, up from $31.8 million in Q4 2024, driven by both a reduction in fixed costs and greater efficiency and lower costs in Pro acquisition. The results exclude both of the potential $5.0 million one-time income items referenced in the 3rd quarter shareholder letter.</w:t>
      </w:r>
    </w:p>
    <w:p>
      <w:pPr>
        <w:spacing w:after="0" w:line="10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November 3, 2025 and December 31, 2025, the Company repurchased 3.2 million common shares for an aggregate of $37.3 million. As of December 31, 2025, there were no shares remaining in its share repurchase</w:t>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Page 2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authorization. Since the spin-off from IAC Inc. on March 31, 2025, Angi has repurchased 9.9 million shares or 19.9% of its shares outstanding at the time of the spin-off for $138.0 million.</w:t>
      </w:r>
    </w:p>
    <w:p>
      <w:pPr>
        <w:spacing w:after="0" w:line="108" w:lineRule="exact"/>
        <w:rPr>
          <w:sz w:val="20"/>
          <w:szCs w:val="20"/>
          <w:color w:val="auto"/>
        </w:rPr>
      </w:pPr>
    </w:p>
    <w:p>
      <w:pPr>
        <w:jc w:val="both"/>
        <w:ind w:left="340" w:hanging="332"/>
        <w:spacing w:after="0" w:line="24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an income tax benefit of $2.7 million in Q4 2025 for an effective tax rate of 30% in fiscal year 2025 and (61)% in Q4 2025. The Q4 tax benefit was primarily due to a release of valuation allowance. The effective tax rate for the year is higher than the statutory rate of 21% due primarily to the effect of cross-border tax laws, change in unrecognized tax benefits and state taxes, partially offset by research credits and a valuation allowance release. In the prior year period, the Company recorded an income tax provision of $1.7 million, which was due primarily to unbenefited realized losses and the impact of stock-based awards.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METRICS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Q1 2025, the Company introduced new metrics to better reflect the core business activities, targeted customer behaviors, and unit economics. Definitions can be found on page 14, and more information regarding the changes is available in the Q1 2025 Earnings Release and the "Angi Change to Key Metrics Q1 2025 Primer" document available at </w:t>
      </w:r>
      <w:r>
        <w:rPr>
          <w:rFonts w:ascii="Times New Roman" w:cs="Times New Roman" w:eastAsia="Times New Roman" w:hAnsi="Times New Roman"/>
          <w:sz w:val="18"/>
          <w:szCs w:val="18"/>
          <w:color w:val="0000FF"/>
        </w:rPr>
        <w:t>https://ir.angi.com/quarterly-earnings.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49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i w:val="1"/>
                <w:iCs w:val="1"/>
                <w:color w:val="auto"/>
                <w:w w:val="99"/>
              </w:rPr>
              <w:t>QUARTERLY PRO METRICS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3020" w:type="dxa"/>
            <w:vAlign w:val="bottom"/>
          </w:tcPr>
          <w:p>
            <w:pPr>
              <w:spacing w:after="0"/>
              <w:rPr>
                <w:sz w:val="23"/>
                <w:szCs w:val="23"/>
                <w:color w:val="auto"/>
              </w:rPr>
            </w:pPr>
          </w:p>
        </w:tc>
        <w:tc>
          <w:tcPr>
            <w:tcW w:w="49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rounding differences may occur)</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
        </w:trPr>
        <w:tc>
          <w:tcPr>
            <w:tcW w:w="3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3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3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Pros</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Active Pros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7"/>
        </w:trPr>
        <w:tc>
          <w:tcPr>
            <w:tcW w:w="3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Churn</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
        </w:trPr>
        <w:tc>
          <w:tcPr>
            <w:tcW w:w="30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562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i w:val="1"/>
                <w:iCs w:val="1"/>
                <w:color w:val="auto"/>
                <w:w w:val="99"/>
              </w:rPr>
              <w:t>PROPRIETARY AND NETWORK CHANNEL METRICS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2480" w:type="dxa"/>
            <w:vAlign w:val="bottom"/>
          </w:tcPr>
          <w:p>
            <w:pPr>
              <w:spacing w:after="0"/>
              <w:rPr>
                <w:sz w:val="23"/>
                <w:szCs w:val="23"/>
                <w:color w:val="auto"/>
              </w:rPr>
            </w:pPr>
          </w:p>
        </w:tc>
        <w:tc>
          <w:tcPr>
            <w:tcW w:w="562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rounding differences may occur)</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2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2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24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Requests</w:t>
            </w:r>
          </w:p>
        </w:tc>
        <w:tc>
          <w:tcPr>
            <w:tcW w:w="4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w:t>
            </w:r>
          </w:p>
        </w:tc>
        <w:tc>
          <w:tcPr>
            <w:tcW w:w="4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7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w:t>
            </w:r>
          </w:p>
        </w:tc>
        <w:tc>
          <w:tcPr>
            <w:tcW w:w="4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7"/>
        </w:trPr>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3,476</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3,629</w:t>
            </w:r>
          </w:p>
        </w:tc>
        <w:tc>
          <w:tcPr>
            <w:tcW w:w="100" w:type="dxa"/>
            <w:vAlign w:val="bottom"/>
          </w:tcPr>
          <w:p>
            <w:pPr>
              <w:spacing w:after="0"/>
              <w:rPr>
                <w:sz w:val="20"/>
                <w:szCs w:val="20"/>
                <w:color w:val="auto"/>
              </w:rPr>
            </w:pP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27"/>
        </w:trPr>
        <w:tc>
          <w:tcPr>
            <w:tcW w:w="2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480" w:type="dxa"/>
            <w:vAlign w:val="bottom"/>
            <w:shd w:val="clear" w:color="auto" w:fill="CCEEFF"/>
          </w:tcPr>
          <w:p>
            <w:pPr>
              <w:spacing w:after="0"/>
              <w:rPr>
                <w:sz w:val="23"/>
                <w:szCs w:val="23"/>
                <w:color w:val="auto"/>
              </w:rPr>
            </w:pPr>
          </w:p>
        </w:tc>
        <w:tc>
          <w:tcPr>
            <w:tcW w:w="4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Leads</w:t>
            </w:r>
          </w:p>
        </w:tc>
        <w:tc>
          <w:tcPr>
            <w:tcW w:w="4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2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w:t>
            </w:r>
          </w:p>
        </w:tc>
        <w:tc>
          <w:tcPr>
            <w:tcW w:w="4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w:t>
            </w:r>
          </w:p>
        </w:tc>
        <w:tc>
          <w:tcPr>
            <w:tcW w:w="4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7"/>
        </w:trPr>
        <w:tc>
          <w:tcPr>
            <w:tcW w:w="24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44"/>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r>
      <w:tr>
        <w:trPr>
          <w:trHeight w:val="270"/>
        </w:trPr>
        <w:tc>
          <w:tcPr>
            <w:tcW w:w="248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Revenue</w:t>
            </w:r>
          </w:p>
        </w:tc>
        <w:tc>
          <w:tcPr>
            <w:tcW w:w="4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195,986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Revenue</w:t>
            </w:r>
          </w:p>
        </w:tc>
        <w:tc>
          <w:tcPr>
            <w:tcW w:w="4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79,511</w:t>
            </w:r>
          </w:p>
        </w:tc>
        <w:tc>
          <w:tcPr>
            <w:tcW w:w="1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bl>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Page 3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Inc. had 40.1 million shares of Class A and no shares of Class B common stock outstanding,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Inc. had $303.7 million in cash and cash equivalents,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Group, LLC (a subsidiary of Angi Inc.) had $500.0 million of 3.875% Senior Notes due August 15, 2028, and</w:t>
      </w:r>
    </w:p>
    <w:p>
      <w:pPr>
        <w:spacing w:after="0" w:line="252"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Group, LLC had $175.0 million available under its senior secured revolving facility, including a letter of credit sublimit of up to $25.0 million, that matures on November 6, 2030.</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2025, Angi Inc. had no shares remaining of its approximately 3.2 million stock repurchase authorization, which was approved by the Angi Inc. Board of Directors on September 17,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CONFERENCE CALL</w:t>
      </w:r>
    </w:p>
    <w:p>
      <w:pPr>
        <w:spacing w:after="0" w:line="23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 xml:space="preserve">Angi Inc. will host a conference call to answer questions regarding its fourth quarter results on Wednesday, February 11, 2026, at 8:30 a.m. Eastern Time. This conference call will include the disclosure of certain information, including forward-looking information, which may be material to an investor’s understanding of Angi Inc.’s businesses. The conference call will be accessible to the public at </w:t>
      </w:r>
      <w:r>
        <w:rPr>
          <w:rFonts w:ascii="Times New Roman" w:cs="Times New Roman" w:eastAsia="Times New Roman" w:hAnsi="Times New Roman"/>
          <w:sz w:val="18"/>
          <w:szCs w:val="18"/>
          <w:color w:val="0000FF"/>
        </w:rPr>
        <w:t>ir.angi.com</w:t>
      </w:r>
      <w:r>
        <w:rPr>
          <w:rFonts w:ascii="Times New Roman" w:cs="Times New Roman" w:eastAsia="Times New Roman" w:hAnsi="Times New Roman"/>
          <w:sz w:val="18"/>
          <w:szCs w:val="18"/>
          <w:color w:val="auto"/>
        </w:rPr>
        <w:t xml:space="preserve"> and a recording of the webcast will be made available at the location.</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4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DILUTIVE SECURITIES</w:t>
      </w:r>
    </w:p>
    <w:p>
      <w:pPr>
        <w:spacing w:after="0" w:line="3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Angi Inc. has various dilutive securities. The table below details these securities as well as potential dilution at various stock prices (shares in millions; rounding differences may occur).</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Avg.</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3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4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92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3"/>
                <w:szCs w:val="23"/>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2/6/26</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Dilution At:</w:t>
            </w:r>
          </w:p>
        </w:tc>
        <w:tc>
          <w:tcPr>
            <w:tcW w:w="940" w:type="dxa"/>
            <w:vAlign w:val="bottom"/>
          </w:tcPr>
          <w:p>
            <w:pPr>
              <w:spacing w:after="0"/>
              <w:rPr>
                <w:sz w:val="23"/>
                <w:szCs w:val="23"/>
                <w:color w:val="auto"/>
              </w:rPr>
            </w:pPr>
          </w:p>
        </w:tc>
      </w:tr>
      <w:tr>
        <w:trPr>
          <w:trHeight w:val="27"/>
        </w:trPr>
        <w:tc>
          <w:tcPr>
            <w:tcW w:w="39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39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12.00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13.00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14.00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15.00</w:t>
            </w:r>
          </w:p>
        </w:tc>
      </w:tr>
      <w:tr>
        <w:trPr>
          <w:trHeight w:val="270"/>
        </w:trPr>
        <w:tc>
          <w:tcPr>
            <w:tcW w:w="39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Absolute Shares as of 2/6/26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40.1</w:t>
            </w:r>
          </w:p>
        </w:tc>
      </w:tr>
      <w:tr>
        <w:trPr>
          <w:trHeight w:val="270"/>
        </w:trPr>
        <w:tc>
          <w:tcPr>
            <w:tcW w:w="39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SARs and Options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MSUs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39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Dilution</w:t>
            </w: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r>
      <w:tr>
        <w:trPr>
          <w:trHeight w:val="243"/>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Dilution</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7"/>
        </w:trPr>
        <w:tc>
          <w:tcPr>
            <w:tcW w:w="3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Diluted Shares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r>
      <w:tr>
        <w:trPr>
          <w:trHeight w:val="20"/>
        </w:trPr>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dilutive securities presentation is calculated using the method and assumptions described below, which are different from those used for GAAP dilution, which is calculated based on the treasury stock method.</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currently settles all equity awards on a net basis; therefore, the dilutive effect is presented as the net number of shares expected to be issued upon exercise or vesting, and in the case of options, assuming no proceeds are received by the Company. Any required withholding taxes are paid in cash by the Company on behalf of the employees assuming a withholding tax rate of 50%. In addition, the estimated income tax benefit from the tax deduction received upon the exercise or vesting of these awards is assumed to be used to repurchase Angi Inc. shares. Assuming all awards were exercised or vested on February 6, 2026, withholding taxes paid by the Company on behalf of the employees upon net settlement would have been $16.3 million, assuming a stock price of $11.85 and a 50% withholding rate.</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Page 5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ANGI INC. AND SUBSIDIARIES</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w:t>
      </w:r>
    </w:p>
    <w:p>
      <w:pPr>
        <w:spacing w:after="0" w:line="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260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December</w:t>
            </w:r>
          </w:p>
        </w:tc>
        <w:tc>
          <w:tcPr>
            <w:tcW w:w="220" w:type="dxa"/>
            <w:vAlign w:val="bottom"/>
          </w:tcPr>
          <w:p>
            <w:pPr>
              <w:spacing w:after="0"/>
              <w:rPr>
                <w:sz w:val="17"/>
                <w:szCs w:val="17"/>
                <w:color w:val="auto"/>
              </w:rPr>
            </w:pPr>
          </w:p>
        </w:tc>
        <w:tc>
          <w:tcPr>
            <w:tcW w:w="2140" w:type="dxa"/>
            <w:vAlign w:val="bottom"/>
            <w:gridSpan w:val="4"/>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Years Ended</w:t>
            </w:r>
          </w:p>
        </w:tc>
      </w:tr>
      <w:tr>
        <w:trPr>
          <w:trHeight w:val="225"/>
        </w:trPr>
        <w:tc>
          <w:tcPr>
            <w:tcW w:w="6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7"/>
        </w:trPr>
        <w:tc>
          <w:tcPr>
            <w:tcW w:w="6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240,768</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267,869</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1,030,535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1,185,112</w:t>
            </w: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57,578</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231,949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251,690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983,099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1,127,534</w:t>
            </w: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50"/>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601,638</w:t>
            </w: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319,999</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95,360</w:t>
            </w: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86,052</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249,525</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917,693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1,105,649</w:t>
            </w:r>
          </w:p>
        </w:tc>
      </w:tr>
      <w:tr>
        <w:trPr>
          <w:trHeight w:val="23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21,885</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20,077</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16,771</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36,848</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attributable to Angi Inc. shareholders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attributable to Angi Inc.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70"/>
        </w:trPr>
        <w:tc>
          <w:tcPr>
            <w:tcW w:w="6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 by function: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24,533</w:t>
            </w: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160"/>
          </w:cols>
          <w:pgMar w:left="40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Page 6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ANGI INC. AND SUBSIDIARIES</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3"/>
        </w:trPr>
        <w:tc>
          <w:tcPr>
            <w:tcW w:w="7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920" w:type="dxa"/>
            <w:vAlign w:val="bottom"/>
            <w:gridSpan w:val="4"/>
            <w:shd w:val="clear" w:color="auto" w:fill="CCEEFF"/>
          </w:tcPr>
          <w:p>
            <w:pPr>
              <w:jc w:val="right"/>
              <w:ind w:right="147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43"/>
        </w:trPr>
        <w:tc>
          <w:tcPr>
            <w:tcW w:w="706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303,701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416,434</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36,670</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w:t>
            </w:r>
          </w:p>
        </w:tc>
      </w:tr>
      <w:tr>
        <w:trPr>
          <w:trHeight w:val="237"/>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366,382</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495,085</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6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leasehold improvements and equipment, net</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r>
      <w:tr>
        <w:trPr>
          <w:trHeight w:val="257"/>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890,066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883,440</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167,662</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169,073</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35,911</w:t>
            </w:r>
          </w:p>
        </w:tc>
      </w:tr>
      <w:tr>
        <w:trPr>
          <w:trHeight w:val="27"/>
        </w:trPr>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8"/>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1,680,368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1,830,735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50"/>
        </w:trPr>
        <w:tc>
          <w:tcPr>
            <w:tcW w:w="7060" w:type="dxa"/>
            <w:vAlign w:val="bottom"/>
            <w:tcBorders>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18,319</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42,008</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171,351</w:t>
            </w:r>
          </w:p>
        </w:tc>
      </w:tr>
      <w:tr>
        <w:trPr>
          <w:trHeight w:val="237"/>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222,438</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231,678</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496,840</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Class B convertible common stock</w:t>
            </w:r>
          </w:p>
        </w:tc>
        <w:tc>
          <w:tcPr>
            <w:tcW w:w="20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1,465,640</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(195,015)</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(205,864)</w:t>
            </w:r>
          </w:p>
        </w:tc>
      </w:tr>
      <w:tr>
        <w:trPr>
          <w:trHeight w:val="23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927,366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1,062,801</w:t>
            </w:r>
          </w:p>
        </w:tc>
      </w:tr>
      <w:tr>
        <w:trPr>
          <w:trHeight w:val="27"/>
        </w:trPr>
        <w:tc>
          <w:tcPr>
            <w:tcW w:w="7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1,680,368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1,830,735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60" w:top="121"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7"/>
              </w:rPr>
              <w:t>Page 7 of 15</w:t>
            </w:r>
          </w:p>
        </w:tc>
      </w:tr>
      <w:tr>
        <w:trPr>
          <w:trHeight w:val="804"/>
        </w:trPr>
        <w:tc>
          <w:tcPr>
            <w:tcW w:w="7780" w:type="dxa"/>
            <w:vAlign w:val="bottom"/>
          </w:tcPr>
          <w:p>
            <w:pPr>
              <w:jc w:val="center"/>
              <w:ind w:left="3311"/>
              <w:spacing w:after="0"/>
              <w:rPr>
                <w:sz w:val="20"/>
                <w:szCs w:val="20"/>
                <w:color w:val="auto"/>
              </w:rPr>
            </w:pPr>
            <w:r>
              <w:rPr>
                <w:rFonts w:ascii="Times New Roman" w:cs="Times New Roman" w:eastAsia="Times New Roman" w:hAnsi="Times New Roman"/>
                <w:sz w:val="16"/>
                <w:szCs w:val="16"/>
                <w:b w:val="1"/>
                <w:bCs w:val="1"/>
                <w:color w:val="auto"/>
              </w:rPr>
              <w:t>ANGI INC. AND SUBSIDIARIES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7780" w:type="dxa"/>
            <w:vAlign w:val="bottom"/>
          </w:tcPr>
          <w:p>
            <w:pPr>
              <w:jc w:val="center"/>
              <w:ind w:left="3291"/>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780" w:type="dxa"/>
            <w:vAlign w:val="bottom"/>
          </w:tcPr>
          <w:p>
            <w:pPr>
              <w:jc w:val="center"/>
              <w:ind w:left="329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7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37"/>
        </w:trPr>
        <w:tc>
          <w:tcPr>
            <w:tcW w:w="77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20"/>
                <w:szCs w:val="20"/>
                <w:color w:val="auto"/>
              </w:rPr>
            </w:pPr>
          </w:p>
        </w:tc>
      </w:tr>
      <w:tr>
        <w:trPr>
          <w:trHeight w:val="233"/>
        </w:trPr>
        <w:tc>
          <w:tcPr>
            <w:tcW w:w="7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8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36,848</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86,052</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57,261</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34,778</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 (including impairment of right-of-use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 net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(45,385)</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(19,376)</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20" w:type="dxa"/>
            <w:vAlign w:val="bottom"/>
          </w:tcPr>
          <w:p>
            <w:pPr>
              <w:spacing w:after="0"/>
              <w:rPr>
                <w:sz w:val="23"/>
                <w:szCs w:val="23"/>
                <w:color w:val="auto"/>
              </w:rPr>
            </w:pPr>
          </w:p>
        </w:tc>
      </w:tr>
      <w:tr>
        <w:trPr>
          <w:trHeight w:val="23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105,073</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155,941</w:t>
            </w:r>
          </w:p>
        </w:tc>
        <w:tc>
          <w:tcPr>
            <w:tcW w:w="20" w:type="dxa"/>
            <w:vAlign w:val="bottom"/>
          </w:tcPr>
          <w:p>
            <w:pPr>
              <w:spacing w:after="0"/>
              <w:rPr>
                <w:sz w:val="20"/>
                <w:szCs w:val="20"/>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75"/>
        </w:trPr>
        <w:tc>
          <w:tcPr>
            <w:tcW w:w="77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(50,492)</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sales of fixed assets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(59,455)</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20" w:type="dxa"/>
            <w:vAlign w:val="bottom"/>
          </w:tcPr>
          <w:p>
            <w:pPr>
              <w:spacing w:after="0"/>
              <w:rPr>
                <w:sz w:val="22"/>
                <w:szCs w:val="22"/>
                <w:color w:val="auto"/>
              </w:rPr>
            </w:pPr>
          </w:p>
        </w:tc>
      </w:tr>
      <w:tr>
        <w:trPr>
          <w:trHeight w:val="75"/>
        </w:trPr>
        <w:tc>
          <w:tcPr>
            <w:tcW w:w="778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noncontrolling interests</w:t>
            </w:r>
          </w:p>
        </w:tc>
        <w:tc>
          <w:tcPr>
            <w:tcW w:w="3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Withholding taxes paid on behalf of employees on net settled stock-based awards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 from IAC pursuant to the tax sharing agreement</w:t>
            </w:r>
          </w:p>
        </w:tc>
        <w:tc>
          <w:tcPr>
            <w:tcW w:w="3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3"/>
                <w:szCs w:val="23"/>
                <w:color w:val="auto"/>
              </w:rPr>
            </w:pPr>
          </w:p>
        </w:tc>
      </w:tr>
      <w:tr>
        <w:trPr>
          <w:trHeight w:val="237"/>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(158,342)</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(53,759)</w:t>
            </w:r>
          </w:p>
        </w:tc>
        <w:tc>
          <w:tcPr>
            <w:tcW w:w="20" w:type="dxa"/>
            <w:vAlign w:val="bottom"/>
          </w:tcPr>
          <w:p>
            <w:pPr>
              <w:spacing w:after="0"/>
              <w:rPr>
                <w:sz w:val="20"/>
                <w:szCs w:val="20"/>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74"/>
        </w:trPr>
        <w:tc>
          <w:tcPr>
            <w:tcW w:w="77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(used) provided</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51,771</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23"/>
                <w:szCs w:val="23"/>
                <w:color w:val="auto"/>
              </w:rPr>
            </w:pPr>
          </w:p>
        </w:tc>
      </w:tr>
      <w:tr>
        <w:trPr>
          <w:trHeight w:val="237"/>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 and restricted cash</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(112,844)</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52,244</w:t>
            </w:r>
          </w:p>
        </w:tc>
        <w:tc>
          <w:tcPr>
            <w:tcW w:w="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416,545</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364,301</w:t>
            </w:r>
          </w:p>
        </w:tc>
        <w:tc>
          <w:tcPr>
            <w:tcW w:w="20" w:type="dxa"/>
            <w:vAlign w:val="bottom"/>
          </w:tcPr>
          <w:p>
            <w:pPr>
              <w:spacing w:after="0"/>
              <w:rPr>
                <w:sz w:val="23"/>
                <w:szCs w:val="23"/>
                <w:color w:val="auto"/>
              </w:rPr>
            </w:pPr>
          </w:p>
        </w:tc>
      </w:tr>
      <w:tr>
        <w:trPr>
          <w:trHeight w:val="264"/>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303,701</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416,545</w:t>
            </w:r>
          </w:p>
        </w:tc>
        <w:tc>
          <w:tcPr>
            <w:tcW w:w="20" w:type="dxa"/>
            <w:vAlign w:val="bottom"/>
          </w:tcPr>
          <w:p>
            <w:pPr>
              <w:spacing w:after="0"/>
              <w:rPr>
                <w:sz w:val="22"/>
                <w:szCs w:val="22"/>
                <w:color w:val="auto"/>
              </w:rPr>
            </w:pP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00"/>
          </w:cols>
          <w:pgMar w:left="36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Page 8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Significant Expenses</w:t>
      </w:r>
    </w:p>
    <w:p>
      <w:pPr>
        <w:spacing w:after="0" w:line="30"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The following tables present the significant expenses included in the Company’s segment reporting performance measure, Segment Adjusted EBITDA, that are regularly provided to the Chief Operating Decision Maker (CODM):</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780" w:type="dxa"/>
            <w:vAlign w:val="bottom"/>
            <w:tcBorders>
              <w:bottom w:val="single" w:sz="8" w:color="auto"/>
            </w:tcBorders>
          </w:tcPr>
          <w:p>
            <w:pPr>
              <w:spacing w:after="0"/>
              <w:rPr>
                <w:sz w:val="19"/>
                <w:szCs w:val="19"/>
                <w:color w:val="auto"/>
              </w:rPr>
            </w:pPr>
          </w:p>
        </w:tc>
      </w:tr>
      <w:tr>
        <w:trPr>
          <w:trHeight w:val="237"/>
        </w:trPr>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3"/>
        </w:trPr>
        <w:tc>
          <w:tcPr>
            <w:tcW w:w="37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Borders>
              <w:top w:val="single" w:sz="8" w:color="auto"/>
            </w:tcBorders>
            <w:gridSpan w:val="2"/>
          </w:tcPr>
          <w:p>
            <w:pPr>
              <w:ind w:left="900"/>
              <w:spacing w:after="0"/>
              <w:rPr>
                <w:sz w:val="20"/>
                <w:szCs w:val="20"/>
                <w:color w:val="auto"/>
              </w:rPr>
            </w:pPr>
            <w:r>
              <w:rPr>
                <w:rFonts w:ascii="Times New Roman" w:cs="Times New Roman" w:eastAsia="Times New Roman" w:hAnsi="Times New Roman"/>
                <w:sz w:val="16"/>
                <w:szCs w:val="16"/>
                <w:b w:val="1"/>
                <w:bCs w:val="1"/>
                <w:color w:val="auto"/>
              </w:rPr>
              <w:t>As a percentage of revenue</w:t>
            </w:r>
          </w:p>
        </w:tc>
      </w:tr>
      <w:tr>
        <w:trPr>
          <w:trHeight w:val="28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23"/>
                <w:szCs w:val="23"/>
                <w:b w:val="1"/>
                <w:bCs w:val="1"/>
                <w:color w:val="auto"/>
                <w:vertAlign w:val="superscript"/>
              </w:rPr>
              <w:t>*</w:t>
            </w: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47,189</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53,153</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expenses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207,983</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87%</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r>
      <w:tr>
        <w:trPr>
          <w:trHeight w:val="237"/>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International expenses</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66,142</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36,612</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65,482</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200,853</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236,111</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49"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During the fourth quarter of 2025, the Company changed the name of its “Domestic” segment to “U.S.” segment. The change reflects an updated naming convention and did not result in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change to the composition of the segment or how the Company evaluates its performance in the current year as well as prior periods. As a result of this updates, the Company now has the following two operating segments: (i) U.S. and (ii) International (consisting of businesses in Europe and Canada).</w:t>
      </w:r>
    </w:p>
    <w:p>
      <w:pPr>
        <w:spacing w:after="0" w:line="2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 acquisition expense for the three months ended December 31, 2025 excludes $2.3 million of commissions capitalized in the three months ended December 31, 2025 and includes $4.8 million of capitalized commissions amortized from prior periods. Pro acquisition expense for the three months ended December 31, 2024 excludes $5.8 million of commissions capitalized in the three months ended December 31, 2024 and includes $10.3 million of capitalized commissions amortized from prior periods.</w:t>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Page 9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840" w:type="dxa"/>
            <w:vAlign w:val="bottom"/>
            <w:tcBorders>
              <w:bottom w:val="single" w:sz="8" w:color="auto"/>
            </w:tcBorders>
          </w:tcPr>
          <w:p>
            <w:pPr>
              <w:spacing w:after="0"/>
              <w:rPr>
                <w:sz w:val="19"/>
                <w:szCs w:val="19"/>
                <w:color w:val="auto"/>
              </w:rPr>
            </w:pPr>
          </w:p>
        </w:tc>
      </w:tr>
      <w:tr>
        <w:trPr>
          <w:trHeight w:val="237"/>
        </w:trPr>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3"/>
        </w:trPr>
        <w:tc>
          <w:tcPr>
            <w:tcW w:w="37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Borders>
              <w:top w:val="single" w:sz="8" w:color="auto"/>
            </w:tcBorders>
            <w:gridSpan w:val="2"/>
          </w:tcPr>
          <w:p>
            <w:pPr>
              <w:ind w:left="900"/>
              <w:spacing w:after="0"/>
              <w:rPr>
                <w:sz w:val="20"/>
                <w:szCs w:val="20"/>
                <w:color w:val="auto"/>
              </w:rPr>
            </w:pPr>
            <w:r>
              <w:rPr>
                <w:rFonts w:ascii="Times New Roman" w:cs="Times New Roman" w:eastAsia="Times New Roman" w:hAnsi="Times New Roman"/>
                <w:sz w:val="16"/>
                <w:szCs w:val="16"/>
                <w:b w:val="1"/>
                <w:bCs w:val="1"/>
                <w:color w:val="auto"/>
              </w:rPr>
              <w:t>As a percentage of revenue</w:t>
            </w:r>
          </w:p>
        </w:tc>
      </w:tr>
      <w:tr>
        <w:trPr>
          <w:trHeight w:val="26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53,139</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309,139</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124,150</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233,645</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179,673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206,687</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expenses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926,760</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51,393</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37"/>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International expenses</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99,205</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113,037</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78%</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57,578</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324,485</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143,683</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255,971</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258,080</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890,462</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1,039,797</w:t>
            </w:r>
          </w:p>
        </w:tc>
        <w:tc>
          <w:tcPr>
            <w:tcW w:w="19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 acquisition expense for the year ended December 31, 2025 excludes $10.0 million of commissions capitalized in the year ended December 31, 2025 and includes $28.2 million of capitalized commissions amortized from prior periods. Pro acquisition expense for the year ended December 31, 2024 excludes $39.5 million of commissions capitalized in the year ended December 31, 2024 and includes $49.2 million of capitalized commissions amortized from prior periods.</w:t>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 by Segment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i w:val="1"/>
          <w:iCs w:val="1"/>
          <w:color w:val="auto"/>
        </w:rPr>
        <w:t>($ in millions; rounding differences may occur)</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International</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5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December</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37"/>
        </w:trPr>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300355</wp:posOffset>
            </wp:positionV>
            <wp:extent cx="696912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9125"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0"/>
        </w:trPr>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263"/>
        </w:trPr>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-213360</wp:posOffset>
            </wp:positionV>
            <wp:extent cx="6969125"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9125" cy="196850"/>
                    </a:xfrm>
                    <a:prstGeom prst="rect">
                      <a:avLst/>
                    </a:prstGeom>
                    <a:noFill/>
                  </pic:spPr>
                </pic:pic>
              </a:graphicData>
            </a:graphic>
          </wp:anchor>
        </w:drawing>
      </w:r>
    </w:p>
    <w:p>
      <w:pPr>
        <w:sectPr>
          <w:pgSz w:w="11900" w:h="16838" w:orient="portrait"/>
          <w:cols w:equalWidth="0" w:num="2">
            <w:col w:w="3040" w:space="340"/>
            <w:col w:w="7860"/>
          </w:cols>
          <w:pgMar w:left="320" w:top="121"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Page 10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RECONCILIATIONS OF GAAP TO NON-GAAP MEASURES AND SIGNIFICANT EXPENSES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millions; rounding differences may occur)</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EBITDA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December 31, 2025</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 of</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239"/>
        </w:trPr>
        <w:tc>
          <w:tcPr>
            <w:tcW w:w="3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earnings attributable to Angi Inc.</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92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December 31, 2024</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 of</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attributable to Angi Inc.</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92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 Ended December 31, 2025</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7"/>
        </w:trPr>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 of</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239"/>
        </w:trPr>
        <w:tc>
          <w:tcPr>
            <w:tcW w:w="3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earnings attributable to Angi Inc.</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Page 11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6"/>
                <w:szCs w:val="16"/>
                <w:b w:val="1"/>
                <w:bCs w:val="1"/>
                <w:color w:val="auto"/>
              </w:rPr>
              <w:t>Twelve Months Ended December 31, 2024</w:t>
            </w: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3"/>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of Intangibles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Borders>
              <w:bottom w:val="single" w:sz="8" w:color="CCEEFF"/>
            </w:tcBorders>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33.7</w:t>
            </w:r>
          </w:p>
        </w:tc>
        <w:tc>
          <w:tcPr>
            <w:tcW w:w="94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60" w:type="dxa"/>
            <w:vAlign w:val="bottom"/>
            <w:tcBorders>
              <w:bottom w:val="single" w:sz="8" w:color="CCEEFF"/>
            </w:tcBorders>
            <w:gridSpan w:val="4"/>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40" w:type="dxa"/>
            <w:vAlign w:val="bottom"/>
            <w:tcBorders>
              <w:bottom w:val="single" w:sz="8" w:color="CCEEFF"/>
            </w:tcBorders>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34.8</w:t>
            </w:r>
          </w:p>
        </w:tc>
        <w:tc>
          <w:tcPr>
            <w:tcW w:w="94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60" w:type="dxa"/>
            <w:vAlign w:val="bottom"/>
            <w:tcBorders>
              <w:bottom w:val="single" w:sz="8" w:color="CCEEFF"/>
            </w:tcBorders>
            <w:gridSpan w:val="4"/>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(20.2)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left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left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Net earnings attributable to Angi Inc.</w:t>
            </w:r>
          </w:p>
        </w:tc>
        <w:tc>
          <w:tcPr>
            <w:tcW w:w="260" w:type="dxa"/>
            <w:vAlign w:val="bottom"/>
            <w:vMerge w:val="restart"/>
          </w:tcPr>
          <w:p>
            <w:pPr>
              <w:spacing w:after="0"/>
              <w:rPr>
                <w:sz w:val="17"/>
                <w:szCs w:val="17"/>
                <w:color w:val="auto"/>
              </w:rPr>
            </w:pPr>
          </w:p>
        </w:tc>
        <w:tc>
          <w:tcPr>
            <w:tcW w:w="68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gridSpan w:val="31"/>
          </w:tcPr>
          <w:p>
            <w:pPr>
              <w:ind w:left="1360"/>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16"/>
          </w:tcPr>
          <w:p>
            <w:pPr>
              <w:ind w:left="74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 rounding differences may occur)</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155.9</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7"/>
              </w:rPr>
              <w:t>(50.5)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105.4</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gridSpan w:val="31"/>
          </w:tcPr>
          <w:p>
            <w:pPr>
              <w:ind w:left="1420"/>
              <w:spacing w:after="0"/>
              <w:rPr>
                <w:sz w:val="20"/>
                <w:szCs w:val="20"/>
                <w:color w:val="auto"/>
              </w:rPr>
            </w:pPr>
            <w:r>
              <w:rPr>
                <w:rFonts w:ascii="Times New Roman" w:cs="Times New Roman" w:eastAsia="Times New Roman" w:hAnsi="Times New Roman"/>
                <w:sz w:val="18"/>
                <w:szCs w:val="18"/>
                <w:b w:val="1"/>
                <w:bCs w:val="1"/>
                <w:color w:val="auto"/>
              </w:rPr>
              <w:t>RECONCILIATION OF TOTAL OPERATING COSTS AND EXPENSES TO SIGNIFICANT EXPENSES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Three Months Ended December 31, 2025</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Total Operating</w:t>
            </w:r>
          </w:p>
        </w:tc>
        <w:tc>
          <w:tcPr>
            <w:tcW w:w="100" w:type="dxa"/>
            <w:vAlign w:val="bottom"/>
          </w:tcPr>
          <w:p>
            <w:pPr>
              <w:spacing w:after="0"/>
              <w:rPr>
                <w:sz w:val="18"/>
                <w:szCs w:val="18"/>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Stock-based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Significant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0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Expenses (Excluding</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4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1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2024</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Total Operating</w:t>
            </w:r>
          </w:p>
        </w:tc>
        <w:tc>
          <w:tcPr>
            <w:tcW w:w="10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Stock-based</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Significant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0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 of</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Expenses (Excluding</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46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Borders>
              <w:bottom w:val="single" w:sz="8" w:color="CCEEFF"/>
            </w:tcBorders>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4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t>Page 12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Twelve Months Ended December 31, 2025</w:t>
            </w: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00"/>
        </w:trPr>
        <w:tc>
          <w:tcPr>
            <w:tcW w:w="24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Total Significant</w:t>
            </w:r>
          </w:p>
        </w:tc>
      </w:tr>
      <w:tr>
        <w:trPr>
          <w:trHeight w:val="189"/>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 of</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Expenses (Excluding</w:t>
            </w:r>
          </w:p>
        </w:tc>
      </w:tr>
      <w:tr>
        <w:trPr>
          <w:trHeight w:val="239"/>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4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20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Cost of Revenue)</w:t>
            </w:r>
          </w:p>
        </w:tc>
      </w:tr>
      <w:tr>
        <w:trPr>
          <w:trHeight w:val="27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r>
      <w:tr>
        <w:trPr>
          <w:trHeight w:val="26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9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Twelve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36830</wp:posOffset>
            </wp:positionV>
            <wp:extent cx="5511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Total Significant</w:t>
            </w:r>
          </w:p>
        </w:tc>
      </w:tr>
      <w:tr>
        <w:trPr>
          <w:trHeight w:val="189"/>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 of</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Expenses (Excluding</w:t>
            </w:r>
          </w:p>
        </w:tc>
      </w:tr>
      <w:tr>
        <w:trPr>
          <w:trHeight w:val="239"/>
        </w:trPr>
        <w:tc>
          <w:tcPr>
            <w:tcW w:w="24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Cost of Revenue)</w:t>
            </w: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7"/>
        </w:trPr>
        <w:tc>
          <w:tcPr>
            <w:tcW w:w="2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ANGI INC. PRINCIPLES OF FINANCIAL REPORTING</w:t>
      </w:r>
    </w:p>
    <w:p>
      <w:pPr>
        <w:spacing w:after="0" w:line="2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Angi Inc. reports Adjusted EBITDA and Free Cash Flow, which are supplemental measures to U.S. generally accepted accounting principles (“GAAP”). Adjusted EBITDA is considered our primary segment measure of profitability and is one of the metrics, along with Free Cash Flow, by which we evaluate the performance of our businesses and our internal budgets are based and may also impact management compensation. We believe that investors should have access to, and we are obligated to provide, the same set of tools that we use in analyzing our results. These non-GAAP measures should be considered in addition to results prepared in accordance with GAAP but should not be considered a substitute for or superior to GAAP results. Angi Inc. endeavors to compensate for the limitations of the non-GAAP measures presented by providing the comparable GAAP measures with equal or greater prominence and descriptions of the reconciling items, including quantifying such items, to derive the non-GAAP measures. We encourage investors to examine the reconciling adjustments between the GAAP and non-GAAP measures, which are included in this release. Interim results are not necessarily indicative of the results that may be expected for a full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 of Non-GAAP Measures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Adjusted Earnings Before Interest, Taxes, Depreciation and Amortization (Adjusted EBITDA)</w:t>
      </w:r>
      <w:r>
        <w:rPr>
          <w:rFonts w:ascii="Times New Roman" w:cs="Times New Roman" w:eastAsia="Times New Roman" w:hAnsi="Times New Roman"/>
          <w:sz w:val="18"/>
          <w:szCs w:val="18"/>
          <w:color w:val="auto"/>
        </w:rPr>
        <w:t xml:space="preserve"> is defined as operating income excluding: (1) stock-based compensation expense; (2) depreciation; (3) acquisition-related items consisting of amortization of intangible assets and impairments of goodwill and intangible assets, if applicable; and (4) restructuring. The Company believes this measure is useful for analysts and investors as this measure allows a more meaningful</w:t>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Page 13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comparison between its performance and that of its competitors. Adjusted EBITDA has certain limitations because it excludes the impact of these expenses.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is defined as net cash provided by operating activities attributable to continuing operations, less capital expenditures. We believe Free Cash Flow is useful to analysts and investors because it represents the cash that our operating businesses generate, before taking into account non-operational cash movements. Free Cash Flow has certain limitations in that it does not represent the total increase or decrease in the cash balance for the period, nor does it represent the residual cash flow for discretionary expenditures. For example, it does not take into account mandatory debt service requirements. Therefore, we think it is important to evaluate Free Cash Flow along with our consolidated statement of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 of Significant Expenses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Consumer Marketing Expense</w:t>
      </w:r>
      <w:r>
        <w:rPr>
          <w:rFonts w:ascii="Times New Roman" w:cs="Times New Roman" w:eastAsia="Times New Roman" w:hAnsi="Times New Roman"/>
          <w:sz w:val="18"/>
          <w:szCs w:val="18"/>
          <w:color w:val="auto"/>
        </w:rPr>
        <w:t xml:space="preserve"> includes (i) advertising expenditures to promote the brand to consumers with (a) online marketing, including fees paid to search engines and other online marketing platforms, partners who direct traffic to our brands, and app platforms, and (b) offline marketing, which is primarily television, streaming and radio advertising, (ii) compensation expense, excluding stock-based compensation, and other employee-related costs for consumer marketing personnel and (iii) outsourced personnel costs.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Pro Acquisition Expense</w:t>
      </w:r>
      <w:r>
        <w:rPr>
          <w:rFonts w:ascii="Times New Roman" w:cs="Times New Roman" w:eastAsia="Times New Roman" w:hAnsi="Times New Roman"/>
          <w:sz w:val="18"/>
          <w:szCs w:val="18"/>
          <w:color w:val="auto"/>
        </w:rPr>
        <w:t xml:space="preserve"> includes (i) advertising expenditures to promote the brand to Pros with (a) online marketing, including fees paid to search engines and other online marketing platforms, partners who direct traffic to the brands within the Angi Inc. segments, and app platforms, and (b) offline marketing, which is primarily television, streaming and radio advertising and (ii) compensation expense, excluding stock-based compensation, and other employee-related costs for pro acquisition sales and marketing personnel.</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Fixed Expense</w:t>
      </w:r>
      <w:r>
        <w:rPr>
          <w:rFonts w:ascii="Times New Roman" w:cs="Times New Roman" w:eastAsia="Times New Roman" w:hAnsi="Times New Roman"/>
          <w:sz w:val="18"/>
          <w:szCs w:val="18"/>
          <w:color w:val="auto"/>
        </w:rPr>
        <w:t xml:space="preserve"> includes (i) compensation expense, excluding stock-based compensation, and other employee-related costs for personnel engaged in (a) the design, development, testing, and enhancement of product offerings and related technology and (b) executive management, finance, legal, tax, marketing and human resources functions, (ii) software license and maintenance costs, (iii) rent expense and facilities costs (including impairments of ROU assets), (iv) fees for professional services and (iv) outsourced personnel costs for personnel engaged in product development.</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Variable Expense</w:t>
      </w:r>
      <w:r>
        <w:rPr>
          <w:rFonts w:ascii="Times New Roman" w:cs="Times New Roman" w:eastAsia="Times New Roman" w:hAnsi="Times New Roman"/>
          <w:sz w:val="18"/>
          <w:szCs w:val="18"/>
          <w:color w:val="auto"/>
        </w:rPr>
        <w:t xml:space="preserve"> includes (i) compensation expense, excluding stock-based compensation, and other employee-related costs for personnel engaged in customer service functions, (ii) provision for credit losses, (iii) outsourced personnel costs for personnel engaged in assisting in customer service functions and (iv) service guarantee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That Are Excluded from Adjusted EBITDA</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u w:val="single" w:color="auto"/>
          <w:color w:val="auto"/>
        </w:rPr>
        <w:t>Stock-based compensation expense</w:t>
      </w:r>
      <w:r>
        <w:rPr>
          <w:rFonts w:ascii="Times New Roman" w:cs="Times New Roman" w:eastAsia="Times New Roman" w:hAnsi="Times New Roman"/>
          <w:sz w:val="18"/>
          <w:szCs w:val="18"/>
          <w:color w:val="auto"/>
        </w:rPr>
        <w:t xml:space="preserve"> consists of expense associated with the grants, including unvested grants assumed in acquisitions, of stock appreciation rights ("SARs"), restricted stock units ("RSUs"), stock options and performance-based RSUs and market-based awards. These expenses are not paid in cash, and we view the economic costs of stock-based awards to be the dilution to our share base; we also include the related shares in our fully diluted shares outstanding for GAAP earnings per share using the treasury stock method. Performance-based RSUs and market-based awards are included only to the extent the applicable performance or market condition(s) have been met (assuming the end of the reporting period is the end of the contingency period). The Company is currently settling all stock-based awards on a net basis and remits the required tax-withholding amounts from its current funds.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page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 xml:space="preserve"> for a summary of our dilutive securities as of February 6, 2026, and a description of the calculation methodology.</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u w:val="single" w:color="auto"/>
          <w:color w:val="auto"/>
        </w:rPr>
        <w:t>Depreciation</w:t>
      </w:r>
      <w:r>
        <w:rPr>
          <w:rFonts w:ascii="Times New Roman" w:cs="Times New Roman" w:eastAsia="Times New Roman" w:hAnsi="Times New Roman"/>
          <w:sz w:val="18"/>
          <w:szCs w:val="18"/>
          <w:color w:val="auto"/>
        </w:rPr>
        <w:t xml:space="preserve"> is a non-cash expense relating to our capitalized software, leasehold improvements and equipment and is computed using the straight-line method to allocate the cost of depreciable assets to operations over their estimated useful lives, or, in the case of leasehold improvements, the lease term, if shorter.</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Amortization of intangible assets and impairments of goodwill and intangible assets</w:t>
      </w:r>
      <w:r>
        <w:rPr>
          <w:rFonts w:ascii="Times New Roman" w:cs="Times New Roman" w:eastAsia="Times New Roman" w:hAnsi="Times New Roman"/>
          <w:sz w:val="18"/>
          <w:szCs w:val="18"/>
          <w:color w:val="auto"/>
        </w:rPr>
        <w:t xml:space="preserve"> are non-cash expenses related primarily to acquisitions. At the time of an acquisition, the identifiable definite-lived intangible assets of the acquired company, such as professional relationships, technology and trade names,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w:t>
      </w:r>
    </w:p>
    <w:p>
      <w:pPr>
        <w:sectPr>
          <w:pgSz w:w="11900" w:h="16838" w:orient="portrait"/>
          <w:cols w:equalWidth="0" w:num="1">
            <w:col w:w="11240"/>
          </w:cols>
          <w:pgMar w:left="320" w:top="12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Page 14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xml:space="preserve"> are costs associated with a formal restructuring plan that are primarily related to workforce reductions. The Company excludes these expenses because they are not reflective of ordinary course ongoing business and operating results.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Metric Definitions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Q1 2025, the Company introduced the following:</w:t>
      </w:r>
    </w:p>
    <w:p>
      <w:pPr>
        <w:spacing w:after="0" w:line="23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metrics: Proprietary Channels, Network Channels, Acquired Pros, and Average Monthly Active Pros</w:t>
      </w:r>
    </w:p>
    <w:p>
      <w:pPr>
        <w:spacing w:after="0" w:line="2"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language used to describe Service Requests and Leads (formerly known as Monetized Transactions). Neither the data nor definitions of these metrics changed; only the terminology was updated in an effort to make the concepts more intuitive.</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U.S. Revenue </w:t>
      </w:r>
      <w:r>
        <w:rPr>
          <w:rFonts w:ascii="Times New Roman" w:cs="Times New Roman" w:eastAsia="Times New Roman" w:hAnsi="Times New Roman"/>
          <w:sz w:val="18"/>
          <w:szCs w:val="18"/>
          <w:color w:val="auto"/>
        </w:rPr>
        <w:t>– primarily comprised of revenue generated within the U.S. segment, including Lead revenue for consumer matches, revenue from Pros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contract for advertising, membership subscription revenue from Pros and consumers and revenue from pre-priced offerings by which the consumer requests services through a Company platform and the Company connects them with a Pro to perform the service.</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International Revenue </w:t>
      </w:r>
      <w:r>
        <w:rPr>
          <w:rFonts w:ascii="Times New Roman" w:cs="Times New Roman" w:eastAsia="Times New Roman" w:hAnsi="Times New Roman"/>
          <w:sz w:val="18"/>
          <w:szCs w:val="18"/>
          <w:color w:val="auto"/>
        </w:rPr>
        <w:t>– comprised of revenue generated within the International segment (consisting of businesses in Europe and Canada),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 revenue for consumer matches and membership subscription revenue from Pros.</w:t>
      </w:r>
    </w:p>
    <w:p>
      <w:pPr>
        <w:spacing w:after="0" w:line="18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Proprietary Revenue </w:t>
      </w:r>
      <w:r>
        <w:rPr>
          <w:rFonts w:ascii="Times New Roman" w:cs="Times New Roman" w:eastAsia="Times New Roman" w:hAnsi="Times New Roman"/>
          <w:sz w:val="18"/>
          <w:szCs w:val="18"/>
          <w:color w:val="auto"/>
        </w:rPr>
        <w:t>– the portion of U.S. Revenue allocated to Proprietary channels, calculated based on the proportionate share of Leads originating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Proprietary channels in the period.</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Network Revenue </w:t>
      </w:r>
      <w:r>
        <w:rPr>
          <w:rFonts w:ascii="Times New Roman" w:cs="Times New Roman" w:eastAsia="Times New Roman" w:hAnsi="Times New Roman"/>
          <w:sz w:val="18"/>
          <w:szCs w:val="18"/>
          <w:color w:val="auto"/>
        </w:rPr>
        <w:t>– the portion of U.S. Revenue allocated to Network channels, calculated based on the proportionate share of Leads originating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channels in the period.</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Service Requests </w:t>
      </w:r>
      <w:r>
        <w:rPr>
          <w:rFonts w:ascii="Times New Roman" w:cs="Times New Roman" w:eastAsia="Times New Roman" w:hAnsi="Times New Roman"/>
          <w:sz w:val="18"/>
          <w:szCs w:val="18"/>
          <w:color w:val="auto"/>
        </w:rPr>
        <w:t>– requests for connections with Pros in the period, which include pre-priced offerings and indications of interest expressed on a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profile.</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Leads </w:t>
      </w:r>
      <w:r>
        <w:rPr>
          <w:rFonts w:ascii="Times New Roman" w:cs="Times New Roman" w:eastAsia="Times New Roman" w:hAnsi="Times New Roman"/>
          <w:sz w:val="18"/>
          <w:szCs w:val="18"/>
          <w:color w:val="auto"/>
        </w:rPr>
        <w:t>– connections between consumers and Pros resulting from a Service Request in the period, including the completion of a job related to a pre-priced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a single Service Request can result in multiple Leads.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Proprietary </w:t>
      </w:r>
      <w:r>
        <w:rPr>
          <w:rFonts w:ascii="Times New Roman" w:cs="Times New Roman" w:eastAsia="Times New Roman" w:hAnsi="Times New Roman"/>
          <w:sz w:val="18"/>
          <w:szCs w:val="18"/>
          <w:color w:val="auto"/>
        </w:rPr>
        <w:t>– refers to sources of Service Requests in which consumers go through an Angi proprietary user experience or a retail partner experiences.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Network </w:t>
      </w:r>
      <w:r>
        <w:rPr>
          <w:rFonts w:ascii="Times New Roman" w:cs="Times New Roman" w:eastAsia="Times New Roman" w:hAnsi="Times New Roman"/>
          <w:sz w:val="18"/>
          <w:szCs w:val="18"/>
          <w:color w:val="auto"/>
        </w:rPr>
        <w:t>– refers to sources of Service Requests in which consumers are presented with Angi Pros through a third party website experience.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Acquired Pros </w:t>
      </w:r>
      <w:r>
        <w:rPr>
          <w:rFonts w:ascii="Times New Roman" w:cs="Times New Roman" w:eastAsia="Times New Roman" w:hAnsi="Times New Roman"/>
          <w:sz w:val="18"/>
          <w:szCs w:val="18"/>
          <w:color w:val="auto"/>
        </w:rPr>
        <w:t>– new Pros onboarded onto the Angi platform and eligible to receive Leads in the period.</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Average Monthly Active Pros </w:t>
      </w:r>
      <w:r>
        <w:rPr>
          <w:rFonts w:ascii="Times New Roman" w:cs="Times New Roman" w:eastAsia="Times New Roman" w:hAnsi="Times New Roman"/>
          <w:sz w:val="18"/>
          <w:szCs w:val="18"/>
          <w:color w:val="auto"/>
        </w:rPr>
        <w:t>– the average number of Pros per month that (i) received Leads, (ii) were presented on a Service Request where they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 Lead if selected, (iii) requested to be connected to a consumer on a Service Request, or (iv) accepted an offer to complete a pre-priced Service Request.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per Lead </w:t>
      </w:r>
      <w:r>
        <w:rPr>
          <w:rFonts w:ascii="Times New Roman" w:cs="Times New Roman" w:eastAsia="Times New Roman" w:hAnsi="Times New Roman"/>
          <w:sz w:val="18"/>
          <w:szCs w:val="18"/>
          <w:color w:val="auto"/>
        </w:rPr>
        <w:t>– U.S. Revenue (unless noted otherwise) divided by Leads.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Average Monthly Churn </w:t>
      </w:r>
      <w:r>
        <w:rPr>
          <w:rFonts w:ascii="Times New Roman" w:cs="Times New Roman" w:eastAsia="Times New Roman" w:hAnsi="Times New Roman"/>
          <w:sz w:val="18"/>
          <w:szCs w:val="18"/>
          <w:color w:val="auto"/>
        </w:rPr>
        <w:t>– (Active Pros in the current month that were acquired in prior months divided by Active Pros in the prior month) - 1.</w:t>
      </w:r>
    </w:p>
    <w:p>
      <w:pPr>
        <w:sectPr>
          <w:pgSz w:w="11900" w:h="16838" w:orient="portrait"/>
          <w:cols w:equalWidth="0" w:num="1">
            <w:col w:w="11240"/>
          </w:cols>
          <w:pgMar w:left="320" w:top="121" w:right="339" w:bottom="1440" w:gutter="0" w:footer="0" w:header="0"/>
        </w:sectPr>
      </w:pPr>
    </w:p>
    <w:bookmarkStart w:id="17" w:name="page18"/>
    <w:bookmarkEnd w:id="17"/>
    <w:p>
      <w:pPr>
        <w:ind w:left="10240"/>
        <w:spacing w:after="0"/>
        <w:rPr>
          <w:sz w:val="20"/>
          <w:szCs w:val="20"/>
          <w:color w:val="auto"/>
        </w:rPr>
      </w:pPr>
      <w:r>
        <w:rPr>
          <w:rFonts w:ascii="Times New Roman" w:cs="Times New Roman" w:eastAsia="Times New Roman" w:hAnsi="Times New Roman"/>
          <w:sz w:val="18"/>
          <w:szCs w:val="18"/>
          <w:color w:val="auto"/>
        </w:rPr>
        <w:t>Page 15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i w:val="1"/>
          <w:iCs w:val="1"/>
          <w:color w:val="auto"/>
        </w:rPr>
        <w:t>OTHER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Safe Harbor Statement Under the Private Securities Litigation Reform Act of 1995</w:t>
      </w:r>
    </w:p>
    <w:p>
      <w:pPr>
        <w:spacing w:after="0" w:line="201" w:lineRule="exact"/>
        <w:rPr>
          <w:sz w:val="20"/>
          <w:szCs w:val="20"/>
          <w:color w:val="auto"/>
        </w:rPr>
      </w:pPr>
    </w:p>
    <w:p>
      <w:pPr>
        <w:jc w:val="both"/>
        <w:spacing w:after="0" w:line="184" w:lineRule="exact"/>
        <w:rPr>
          <w:sz w:val="20"/>
          <w:szCs w:val="20"/>
          <w:color w:val="auto"/>
        </w:rPr>
      </w:pPr>
      <w:r>
        <w:rPr>
          <w:rFonts w:ascii="Times New Roman" w:cs="Times New Roman" w:eastAsia="Times New Roman" w:hAnsi="Times New Roman"/>
          <w:sz w:val="16"/>
          <w:szCs w:val="16"/>
          <w:color w:val="auto"/>
        </w:rPr>
        <w:t>This press release and our conference call, which will be held at 8:30 a.m. Eastern Time on Wednesday, February 11, 2026, may contain "forward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looking statements" within the meaning of the Private Securities Litigation Reform Act of 1995. The use of words such as "may," "will," "should," "could," "intend," "target," "project," "continue," "anticipates," "estimates," "expects," "plans," and "believes," and “potential” among others, generally identify forward-looking statements. These forward-looking statements include, among others, statements relating to: the future financial performance of the Company and its businesses, business prospects and strategy, the timing, development and expected impact of strategic and product initiatives, future capital allocation strategy, anticipated trends and prospects in the home services industry and other similar matters. Actual results could differ materially from those contained in these forward-looking statements for a variety of reasons, including, among others: (i) the continued migration of the home services market online, (ii) our ability to market our various products and services in a successful and cost-effective manner, (iii) the continued prominence of the display of links to websites offering our products and services in search results, (iv) our ability to expand our pre-priced offerings, while balancing the overall mix of service requests and directory services on Angi Inc. platforms, (v) our ability to establish and maintain relationships with quality and trustworthy Pros, (vi) our continued ability to develop and monetize versions of our products and services for mobile and other digital devices, (vii) our ability to access, share, use and protect the personal data of consumers, (viii) our continued ability to communicate with consumers and Pros via e-mail (or other sufficient means), (ix) our ability to continue to generate leads for Pros given changing requirements applicable to certain communications with consumers, (x) any challenge to the contractor classification or employment status of our Pros, (xi) our ability to compete, (xii) unstable market and economic conditions (particularly those that adversely impact advertising spending levels and consumer confidence and spending behavior), either generally and/or in any of the markets in which our businesses operate, as well as geopolitical conflicts, (xiii) our ability to maintain and/or enhance our various brands, (xiv) our ability to protect our systems, technology and infrastructure from cyberattacks (including cyberattacks experienced by third parties who whom we do business), (xv) the occurrence of data security breaches and/or fraud, (xvi) increased liabilities and costs related to the processing, storage, use and disclosure of personal and confidential user information, (xvii) the integrity, quality, efficiency and scalability of our systems, technology and infrastructures (and those of third parties with whom we do business), (xviii) changes in key personnel, (xix) various risks related to our relationship with IAC following the spin-off, (xx) our ability to generate sufficient cash to service our indebtedness and (xxi) certain risks related to ownership of our Class A common stock. Certain of these and other risks and uncertainties are discussed in Angi Inc.’s filings with the Securities and Exchange Commission (the "SEC"), including the most recent Annual Report on Form 10-K filed with the SEC on February 28, 2025, and subsequent reports that Angi Inc. files with the SEC. Other unknown or unpredictable factors that could also adversely affect Angi Inc.’s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Angi Inc.</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Angi (NASDAQ: ANGI) helps homeowners get home projects done well and helps home service professionals grow their business. We started in 1995 with a simple goal to help people find skilled local home pros from plumbers and electricians to remodelers and landscapers to get their jobs done well. Now 30 years later, we've evolved to help people with everything from finding, booking and hiring a skilled pro, to researching costs and finding project inspiration. Homeowners have turned to Angi, and our vast network of skilled home pros, for help with more than 300 million projects.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Contact Us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Angi Inc. Investor Relations</w:t>
      </w:r>
    </w:p>
    <w:p>
      <w:pPr>
        <w:spacing w:after="0" w:line="12"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282-1958</w:t>
      </w:r>
    </w:p>
    <w:p>
      <w:pPr>
        <w:spacing w:after="0" w:line="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ir@angi.com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Angi Inc. Corporate Communications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(303) 963-8352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Angi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3601 Walnut Street, Denver, CO 80205 (303) 963-7200 </w:t>
      </w:r>
      <w:r>
        <w:rPr>
          <w:rFonts w:ascii="Times New Roman" w:cs="Times New Roman" w:eastAsia="Times New Roman" w:hAnsi="Times New Roman"/>
          <w:sz w:val="16"/>
          <w:szCs w:val="16"/>
          <w:color w:val="0000FF"/>
        </w:rPr>
        <w:t>http://www.angi.com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72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2026-02-10T15:34:06Z</dcterms:created>
  <dcterms:modified xsi:type="dcterms:W3CDTF">2026-02-10T15:34:06Z</dcterms:modified>
</cp:coreProperties>
</file>