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3_1778617495.xml.htm"/>
      <w:bookmarkStart w:id="1" w:name="kswkform3_1778617495"/>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2041" w:type="dxa"/>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2"/>
        <w:gridCol w:w="2551"/>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Wanderer Michael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ANGI INC.</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3601 WALNUT STREET, SUITE 700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DENVER</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80205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05/04/2026</w:t>
            </w:r>
            <w:r>
              <w:rPr/>
              <w:t xml:space="preserve"> </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Angi Inc.</w:t>
              </w:r>
            </w:hyperlink>
            <w:r>
              <w:rPr/>
              <w:t xml:space="preserve"> [ </w:t>
            </w:r>
            <w:r>
              <w:rPr>
                <w:rFonts w:ascii="Times;serif" w:hAnsi="Times;serif"/>
                <w:color w:val="0000FF"/>
                <w:sz w:val="24"/>
                <w:shd w:fill="FFFFFF" w:val="clear"/>
              </w:rPr>
              <w:t>ANGI</w:t>
            </w:r>
            <w:r>
              <w:rPr/>
              <w:t xml:space="preserve"> ] </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2"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Operating Officer</w:t>
                  </w:r>
                </w:p>
              </w:tc>
            </w:tr>
          </w:tbl>
          <w:p>
            <w:pPr>
              <w:pStyle w:val="TableContents"/>
              <w:bidi w:val="0"/>
              <w:spacing w:before="0" w:after="283"/>
              <w:jc w:val="left"/>
              <w:rPr>
                <w:sz w:val="4"/>
                <w:szCs w:val="4"/>
              </w:rPr>
            </w:pPr>
            <w:r>
              <w:rPr>
                <w:sz w:val="4"/>
                <w:szCs w:val="4"/>
              </w:rPr>
            </w:r>
          </w:p>
        </w:tc>
        <w:tc>
          <w:tcPr>
            <w:tcW w:w="2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2"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3"/>
              <w:gridCol w:w="2068"/>
            </w:tblGrid>
            <w:tr>
              <w:trPr/>
              <w:tc>
                <w:tcPr>
                  <w:tcW w:w="363"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3"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2"/>
        <w:gridCol w:w="1963"/>
        <w:gridCol w:w="1166"/>
        <w:gridCol w:w="2654"/>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2" w:type="dxa"/>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3"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6"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4"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r>
        <w:trPr/>
        <w:tc>
          <w:tcPr>
            <w:tcW w:w="442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 par value $0.001</w:t>
            </w:r>
          </w:p>
        </w:tc>
        <w:tc>
          <w:tcPr>
            <w:tcW w:w="19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29,173</w:t>
            </w:r>
          </w:p>
        </w:tc>
        <w:tc>
          <w:tcPr>
            <w:tcW w:w="11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26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697"/>
        <w:gridCol w:w="1223"/>
        <w:gridCol w:w="1129"/>
        <w:gridCol w:w="1344"/>
        <w:gridCol w:w="937"/>
        <w:gridCol w:w="1266"/>
        <w:gridCol w:w="1228"/>
        <w:gridCol w:w="1381"/>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69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228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6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38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69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223"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29"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344"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37"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6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2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38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69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Restricted Stock Units</w:t>
            </w:r>
          </w:p>
        </w:tc>
        <w:tc>
          <w:tcPr>
            <w:tcW w:w="12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13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Class A Common Stock, par value $0.001</w:t>
            </w:r>
          </w:p>
        </w:tc>
        <w:tc>
          <w:tcPr>
            <w:tcW w:w="9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3,000</w:t>
            </w:r>
          </w:p>
        </w:tc>
        <w:tc>
          <w:tcPr>
            <w:tcW w:w="12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12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69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Restricted Stock Units</w:t>
            </w:r>
          </w:p>
        </w:tc>
        <w:tc>
          <w:tcPr>
            <w:tcW w:w="12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13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Class A Common Stock, par value $0.001</w:t>
            </w:r>
          </w:p>
        </w:tc>
        <w:tc>
          <w:tcPr>
            <w:tcW w:w="9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5,000</w:t>
            </w:r>
          </w:p>
        </w:tc>
        <w:tc>
          <w:tcPr>
            <w:tcW w:w="12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12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69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Restricted Stock Units</w:t>
            </w:r>
          </w:p>
        </w:tc>
        <w:tc>
          <w:tcPr>
            <w:tcW w:w="12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13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Class A Common Stock, par value $0.001</w:t>
            </w:r>
          </w:p>
        </w:tc>
        <w:tc>
          <w:tcPr>
            <w:tcW w:w="9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7,500</w:t>
            </w:r>
          </w:p>
        </w:tc>
        <w:tc>
          <w:tcPr>
            <w:tcW w:w="12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12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69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Restricted Stock Units</w:t>
            </w:r>
          </w:p>
        </w:tc>
        <w:tc>
          <w:tcPr>
            <w:tcW w:w="12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(5)</w:t>
            </w:r>
            <w:r>
              <w:rPr/>
              <w:t xml:space="preserve"> </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(5)</w:t>
            </w:r>
            <w:r>
              <w:rPr/>
              <w:t xml:space="preserve"> </w:t>
            </w:r>
          </w:p>
        </w:tc>
        <w:tc>
          <w:tcPr>
            <w:tcW w:w="13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Class A Comon Stock, par value $0.001</w:t>
            </w:r>
          </w:p>
        </w:tc>
        <w:tc>
          <w:tcPr>
            <w:tcW w:w="9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33,250</w:t>
            </w:r>
          </w:p>
        </w:tc>
        <w:tc>
          <w:tcPr>
            <w:tcW w:w="12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12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69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Restricted Stock Units</w:t>
            </w:r>
          </w:p>
        </w:tc>
        <w:tc>
          <w:tcPr>
            <w:tcW w:w="122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(6)</w:t>
            </w:r>
            <w:r>
              <w:rPr/>
              <w:t xml:space="preserve"> </w:t>
            </w:r>
          </w:p>
        </w:tc>
        <w:tc>
          <w:tcPr>
            <w:tcW w:w="112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(6)</w:t>
            </w:r>
            <w:r>
              <w:rPr/>
              <w:t xml:space="preserve"> </w:t>
            </w:r>
          </w:p>
        </w:tc>
        <w:tc>
          <w:tcPr>
            <w:tcW w:w="134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Class A Common Stock, par value $0.001</w:t>
            </w:r>
          </w:p>
        </w:tc>
        <w:tc>
          <w:tcPr>
            <w:tcW w:w="93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16,250</w:t>
            </w:r>
          </w:p>
        </w:tc>
        <w:tc>
          <w:tcPr>
            <w:tcW w:w="12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122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On March 1, 2023, the reporting person was granted 12,000 restricted stock units, vesting in four equal annual installments beginning on the first anniversary of the grant date, subject to continued service through each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Each restricted stock unit represents a contingent right to receive one share of Class A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On March 1, 2024, the reporting person was granted 7,500 restricted stock units, vesting in three equal annual installments beginning on the second anniversary of the grant date, subject to continued service through each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On May 6, 2025, the reporting person was granted 15,000 restricted stock units, vesting in two equal installments on March 1, 2026 and 2027, subject to continued service through each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On September 17, 2025, the reporting was granted 33,250 restricted stock units of which approximately ten percent (10%), forty-one percent (41%) and forty-nine percent (49%) vest on March 1, 2027, 2028 and 2029, respectively, such that the award will be fully vested on March 1, 2029, subject to continued service through each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On March 26, 2026, the reporting person was granted 16,250 restricted stock units, vesting in one installment on March 1, 2027, subject to continued service.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Shannon M. Shaw, as Attorney-in-Fact for Michael Wanderer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05/12/2026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left"/>
        <w:rPr/>
      </w:pPr>
      <w:r>
        <w:rPr/>
      </w:r>
      <w:r>
        <w:br w:type="page"/>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60"/>
        <w:jc w:val="left"/>
        <w:rPr/>
      </w:pPr>
      <w:r>
        <w:rPr/>
      </w:r>
    </w:p>
    <w:p>
      <w:pPr>
        <w:pStyle w:val="TextBody"/>
        <w:bidi w:val="0"/>
        <w:spacing w:lineRule="auto" w:line="321" w:before="0" w:after="160"/>
        <w:jc w:val="center"/>
        <w:rPr>
          <w:rFonts w:ascii="Times New Roman;serif" w:hAnsi="Times New Roman;serif"/>
          <w:b/>
          <w:color w:val="000000"/>
          <w:sz w:val="22"/>
        </w:rPr>
      </w:pPr>
      <w:r>
        <w:rPr>
          <w:rFonts w:ascii="Times New Roman;serif" w:hAnsi="Times New Roman;serif"/>
          <w:b/>
          <w:color w:val="000000"/>
          <w:sz w:val="22"/>
        </w:rPr>
        <w:t>POWER OF ATTORNEY</w:t>
      </w:r>
    </w:p>
    <w:p>
      <w:pPr>
        <w:pStyle w:val="TextBody"/>
        <w:bidi w:val="0"/>
        <w:spacing w:lineRule="auto" w:line="321" w:before="0" w:after="160"/>
        <w:jc w:val="left"/>
        <w:rPr>
          <w:color w:val="000000"/>
        </w:rPr>
      </w:pPr>
      <w:r>
        <w:rPr>
          <w:color w:val="000000"/>
        </w:rPr>
        <w:t>    </w:t>
      </w:r>
      <w:r>
        <w:rPr>
          <w:rFonts w:ascii="Times New Roman;serif" w:hAnsi="Times New Roman;serif"/>
          <w:b w:val="false"/>
          <w:color w:val="000000"/>
          <w:sz w:val="22"/>
        </w:rPr>
        <w:t>The undersigned hereby constitutes and appoints each of Shannon Shaw and Kkot Byoul (“Hannah”) Yi, signing singly, as the undersigned’s true and lawful attorney-in-fact to:</w:t>
      </w:r>
    </w:p>
    <w:p>
      <w:pPr>
        <w:pStyle w:val="TextBody"/>
        <w:bidi w:val="0"/>
        <w:spacing w:lineRule="auto" w:line="321" w:before="0" w:after="160"/>
        <w:jc w:val="left"/>
        <w:rPr>
          <w:color w:val="000000"/>
        </w:rPr>
      </w:pPr>
      <w:r>
        <w:rPr>
          <w:color w:val="000000"/>
        </w:rPr>
        <w:t>    </w:t>
      </w:r>
      <w:r>
        <w:rPr>
          <w:rFonts w:ascii="Times New Roman;serif" w:hAnsi="Times New Roman;serif"/>
          <w:b w:val="false"/>
          <w:color w:val="000000"/>
          <w:sz w:val="22"/>
        </w:rPr>
        <w:t>(1)    execute for and on behalf of the undersigned, in the undersigned’s capacity as an officer of Angi Inc. (the “Company”), Forms 3, 4 and 5 in accordance with Section 16(a) of the Securities Exchange Act of 1934, as amended, and the rules thereunder (the “Exchange Act”), and Form ID to obtain and/or renew EDGAR codes for use in filing Forms 3, 4 and 5;</w:t>
      </w:r>
    </w:p>
    <w:p>
      <w:pPr>
        <w:pStyle w:val="TextBody"/>
        <w:bidi w:val="0"/>
        <w:spacing w:lineRule="auto" w:line="321" w:before="0" w:after="160"/>
        <w:jc w:val="left"/>
        <w:rPr>
          <w:color w:val="000000"/>
        </w:rPr>
      </w:pPr>
      <w:r>
        <w:rPr>
          <w:color w:val="000000"/>
        </w:rPr>
        <w:t>    </w:t>
      </w:r>
      <w:r>
        <w:rPr>
          <w:rFonts w:ascii="Times New Roman;serif" w:hAnsi="Times New Roman;serif"/>
          <w:b w:val="false"/>
          <w:color w:val="000000"/>
          <w:sz w:val="22"/>
        </w:rPr>
        <w:t>(2)    do and perform any and all acts for and on behalf of the undersigned which may be necessary or desirable to complete and execute any such Form 3, 4 or 5 or Form ID, complete and execute any amendment or amendments thereto, and timely file such forms with the United States Securities and Exchange Commission and any stock exchange or similar authority;</w:t>
      </w:r>
    </w:p>
    <w:p>
      <w:pPr>
        <w:pStyle w:val="TextBody"/>
        <w:bidi w:val="0"/>
        <w:spacing w:lineRule="auto" w:line="321" w:before="0" w:after="160"/>
        <w:jc w:val="left"/>
        <w:rPr>
          <w:color w:val="000000"/>
        </w:rPr>
      </w:pPr>
      <w:r>
        <w:rPr>
          <w:color w:val="000000"/>
        </w:rPr>
        <w:t>    </w:t>
      </w:r>
      <w:r>
        <w:rPr>
          <w:rFonts w:ascii="Times New Roman;serif" w:hAnsi="Times New Roman;serif"/>
          <w:b w:val="false"/>
          <w:color w:val="000000"/>
          <w:sz w:val="22"/>
        </w:rPr>
        <w:t>(3)    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 and </w:t>
      </w:r>
    </w:p>
    <w:p>
      <w:pPr>
        <w:pStyle w:val="TextBody"/>
        <w:bidi w:val="0"/>
        <w:spacing w:lineRule="auto" w:line="321" w:before="0" w:after="160"/>
        <w:jc w:val="left"/>
        <w:rPr>
          <w:color w:val="000000"/>
        </w:rPr>
      </w:pPr>
      <w:r>
        <w:rPr>
          <w:color w:val="000000"/>
        </w:rPr>
        <w:t>    </w:t>
      </w:r>
      <w:r>
        <w:rPr>
          <w:rFonts w:ascii="Times New Roman;serif" w:hAnsi="Times New Roman;serif"/>
          <w:b w:val="false"/>
          <w:color w:val="000000"/>
          <w:sz w:val="22"/>
        </w:rPr>
        <w:t>(4)    seek or obtain, as the undersigned’s attorney-in-fact and on the undersigned’s behalf, information regarding transactions in the Company’s securities from any third party, including brokers, employee benefit plan administrators and trustees, and the undersigned hereby authorizes any such person to release any such information to such attorney-in-fact and approves and ratifies any such release of information.</w:t>
      </w:r>
    </w:p>
    <w:p>
      <w:pPr>
        <w:pStyle w:val="TextBody"/>
        <w:bidi w:val="0"/>
        <w:spacing w:lineRule="auto" w:line="321" w:before="0" w:after="160"/>
        <w:jc w:val="left"/>
        <w:rPr>
          <w:color w:val="000000"/>
        </w:rPr>
      </w:pPr>
      <w:r>
        <w:rPr>
          <w:color w:val="000000"/>
        </w:rPr>
        <w:t>    </w:t>
      </w:r>
      <w:r>
        <w:rPr>
          <w:rFonts w:ascii="Times New Roman;serif" w:hAnsi="Times New Roman;serif"/>
          <w:b w:val="false"/>
          <w:color w:val="000000"/>
          <w:sz w:val="22"/>
        </w:rPr>
        <w:t>The undersigned hereby grants to each such attorney-in-fact full power and authority to do and perform any and every act and thing whatsoever requisite, necessary, or proper to be done in connection with the exercise of any of the rights and powers herein granted, as fully to all intents and purposes as the undersigned might or could do if personally present, with full power of substitution or revocation, herby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w:t>
      </w:r>
    </w:p>
    <w:p>
      <w:pPr>
        <w:pStyle w:val="TextBody"/>
        <w:bidi w:val="0"/>
        <w:spacing w:lineRule="auto" w:line="321" w:before="0" w:after="160"/>
        <w:jc w:val="left"/>
        <w:rPr>
          <w:color w:val="000000"/>
        </w:rPr>
      </w:pPr>
      <w:r>
        <w:rPr>
          <w:color w:val="000000"/>
        </w:rPr>
        <w:t>    </w:t>
      </w:r>
      <w:r>
        <w:rPr>
          <w:rFonts w:ascii="Times New Roman;serif" w:hAnsi="Times New Roman;serif"/>
          <w:b w:val="false"/>
          <w:color w:val="000000"/>
          <w:sz w:val="22"/>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 </w:t>
      </w:r>
    </w:p>
    <w:p>
      <w:pPr>
        <w:pStyle w:val="TextBody"/>
        <w:bidi w:val="0"/>
        <w:spacing w:lineRule="auto" w:line="321" w:before="0" w:after="160"/>
        <w:jc w:val="left"/>
        <w:rPr>
          <w:color w:val="000000"/>
        </w:rPr>
      </w:pPr>
      <w:r>
        <w:rPr>
          <w:color w:val="000000"/>
        </w:rPr>
        <w:t>    </w:t>
      </w:r>
      <w:r>
        <w:rPr>
          <w:rFonts w:ascii="Times New Roman;serif" w:hAnsi="Times New Roman;serif"/>
          <w:b w:val="false"/>
          <w:color w:val="000000"/>
          <w:sz w:val="22"/>
        </w:rPr>
        <w:t xml:space="preserve">This Power of Attorney does not relieve the undersigned from responsibility for compliance with the undersigned’s obligations under the Exchange Act, including, without limitation, the reporting requirements under Section 16 of the Exchange Act.  Additionally, although pursuant to this Power of Attorney the Company will use commercially reasonable best efforts to timely and accurately file Section 16 reports on behalf of the undersigned, the Company does not represent or warrant that it will be able to </w:t>
      </w:r>
    </w:p>
    <w:p>
      <w:pPr>
        <w:pStyle w:val="TextBody"/>
        <w:bidi w:val="0"/>
        <w:spacing w:before="0" w:after="16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in all cases timely and accurately file Section 16 reports on behalf of the undersigned due to various factors, including, but not limited to, the shorter deadlines mandated by the Sarbanes-Oxley Act of 2002, possible time zone differences between the Company and the undersigned and the Company’s need to rely on other parties for information, including the undersigned and brokers of the undersigned.</w:t>
      </w:r>
    </w:p>
    <w:p>
      <w:pPr>
        <w:pStyle w:val="TextBody"/>
        <w:bidi w:val="0"/>
        <w:spacing w:before="0" w:after="160"/>
        <w:jc w:val="left"/>
        <w:rPr/>
      </w:pPr>
      <w:r>
        <w:rPr/>
      </w:r>
    </w:p>
    <w:p>
      <w:pPr>
        <w:pStyle w:val="TextBody"/>
        <w:bidi w:val="0"/>
        <w:spacing w:lineRule="auto" w:line="321" w:before="0" w:after="160"/>
        <w:jc w:val="left"/>
        <w:rPr>
          <w:color w:val="000000"/>
        </w:rPr>
      </w:pPr>
      <w:r>
        <w:rPr>
          <w:color w:val="000000"/>
        </w:rPr>
        <w:t>    </w:t>
      </w:r>
      <w:r>
        <w:rPr>
          <w:rFonts w:ascii="Times New Roman;serif" w:hAnsi="Times New Roman;serif"/>
          <w:b w:val="false"/>
          <w:color w:val="000000"/>
          <w:sz w:val="22"/>
        </w:rPr>
        <w:t>IN WITNESS WHEREOF, the undersigned had caused this Power of Attorney to be executed as of this 30th day of April 2026.</w:t>
      </w:r>
    </w:p>
    <w:p>
      <w:pPr>
        <w:pStyle w:val="TextBody"/>
        <w:bidi w:val="0"/>
        <w:spacing w:before="0" w:after="160"/>
        <w:jc w:val="left"/>
        <w:rPr/>
      </w:pPr>
      <w:r>
        <w:rPr/>
      </w:r>
    </w:p>
    <w:p>
      <w:pPr>
        <w:pStyle w:val="TextBody"/>
        <w:bidi w:val="0"/>
        <w:spacing w:before="0" w:after="160"/>
        <w:jc w:val="left"/>
        <w:rPr/>
      </w:pPr>
      <w:r>
        <w:rPr/>
      </w:r>
    </w:p>
    <w:p>
      <w:pPr>
        <w:pStyle w:val="TextBody"/>
        <w:bidi w:val="0"/>
        <w:spacing w:lineRule="auto" w:line="321" w:before="0" w:after="160"/>
        <w:jc w:val="left"/>
        <w:rPr/>
      </w:pPr>
      <w:r>
        <w:rPr>
          <w:color w:val="000000"/>
        </w:rPr>
        <w:t>    </w:t>
      </w:r>
      <w:r>
        <w:rPr>
          <w:rFonts w:ascii="Times New Roman;serif" w:hAnsi="Times New Roman;serif"/>
          <w:b w:val="false"/>
          <w:color w:val="000000"/>
          <w:sz w:val="22"/>
          <w:u w:val="single"/>
        </w:rPr>
        <w:t>/s/ Michael Wanderer        </w:t>
      </w:r>
      <w:r>
        <w:rPr>
          <w:rFonts w:ascii="Times New Roman;serif" w:hAnsi="Times New Roman;serif"/>
          <w:b w:val="false"/>
          <w:color w:val="000000"/>
          <w:sz w:val="22"/>
        </w:rPr>
        <w:br/>
        <w:t>    Michael Wanderer</w:t>
      </w: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2132765" TargetMode="External"/><Relationship Id="rId3" Type="http://schemas.openxmlformats.org/officeDocument/2006/relationships/hyperlink" Target="http://www.sec.gov/cgi-bin/browse-edgar?action=getcompany&amp;CIK=0001705110"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1338</Words>
  <Characters>7099</Characters>
  <CharactersWithSpaces>8421</CharactersWithSpaces>
  <Paragraphs>121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