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No. 1)</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6, 2024</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Angi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260"/>
          </w:cols>
          <w:pgMar w:left="320" w:top="1388" w:right="319" w:bottom="1440" w:gutter="0" w:footer="0" w:header="0"/>
        </w:sectPr>
      </w:pPr>
    </w:p>
    <w:p>
      <w:pPr>
        <w:spacing w:after="0" w:line="255"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7"/>
          <w:szCs w:val="17"/>
          <w:b w:val="1"/>
          <w:bCs w:val="1"/>
          <w:color w:val="auto"/>
        </w:rPr>
        <w:t>001-38220</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82-1204801</w:t>
      </w:r>
    </w:p>
    <w:p>
      <w:pPr>
        <w:spacing w:after="0" w:line="92" w:lineRule="exact"/>
        <w:rPr>
          <w:sz w:val="24"/>
          <w:szCs w:val="24"/>
          <w:color w:val="auto"/>
        </w:rPr>
      </w:pPr>
    </w:p>
    <w:p>
      <w:pPr>
        <w:sectPr>
          <w:pgSz w:w="11900" w:h="16838" w:orient="portrait"/>
          <w:cols w:equalWidth="0" w:num="3">
            <w:col w:w="4500" w:space="720"/>
            <w:col w:w="2820" w:space="720"/>
            <w:col w:w="2500"/>
          </w:cols>
          <w:pgMar w:left="320" w:top="1388" w:right="319" w:bottom="1440" w:gutter="0" w:footer="0" w:header="0"/>
          <w:type w:val="continuous"/>
        </w:sectPr>
      </w:pPr>
    </w:p>
    <w:p>
      <w:pPr>
        <w:jc w:val="center"/>
        <w:ind w:right="32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7"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jc w:val="center"/>
        <w:ind w:right="140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2660" w:space="720"/>
            <w:col w:w="2740"/>
          </w:cols>
          <w:pgMar w:left="320" w:top="1388" w:right="319" w:bottom="1440" w:gutter="0" w:footer="0" w:header="0"/>
          <w:type w:val="continuous"/>
        </w:sectPr>
      </w:pPr>
    </w:p>
    <w:p>
      <w:pPr>
        <w:spacing w:after="0" w:line="286"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7"/>
          <w:szCs w:val="17"/>
          <w:b w:val="1"/>
          <w:bCs w:val="1"/>
          <w:color w:val="auto"/>
        </w:rPr>
        <w:t>3601 Walnut Street, Suite 700</w:t>
      </w:r>
    </w:p>
    <w:p>
      <w:pPr>
        <w:sectPr>
          <w:pgSz w:w="11900" w:h="16838" w:orient="portrait"/>
          <w:cols w:equalWidth="0" w:num="1">
            <w:col w:w="11260"/>
          </w:cols>
          <w:pgMar w:left="320" w:top="1388" w:right="319" w:bottom="1440" w:gutter="0" w:footer="0" w:header="0"/>
          <w:type w:val="continuous"/>
        </w:sectPr>
      </w:pPr>
    </w:p>
    <w:p>
      <w:pPr>
        <w:spacing w:after="0" w:line="7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7"/>
          <w:szCs w:val="17"/>
          <w:b w:val="1"/>
          <w:bCs w:val="1"/>
          <w:color w:val="auto"/>
        </w:rPr>
        <w:t xml:space="preserve">Denver, </w:t>
      </w:r>
      <w:r>
        <w:rPr>
          <w:rFonts w:ascii="Calibri" w:cs="Calibri" w:eastAsia="Calibri" w:hAnsi="Calibri"/>
          <w:sz w:val="18"/>
          <w:szCs w:val="18"/>
          <w:b w:val="1"/>
          <w:bCs w:val="1"/>
          <w:color w:val="auto"/>
        </w:rPr>
        <w:t>CO</w:t>
      </w:r>
    </w:p>
    <w:p>
      <w:pPr>
        <w:spacing w:after="0" w:line="20" w:lineRule="exact"/>
        <w:rPr>
          <w:sz w:val="24"/>
          <w:szCs w:val="24"/>
          <w:color w:val="auto"/>
        </w:rPr>
      </w:pPr>
      <w:r>
        <w:rPr>
          <w:sz w:val="24"/>
          <w:szCs w:val="24"/>
          <w:color w:val="auto"/>
        </w:rPr>
        <w:br w:type="column"/>
      </w:r>
    </w:p>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80205</w:t>
      </w:r>
    </w:p>
    <w:p>
      <w:pPr>
        <w:spacing w:after="0" w:line="91" w:lineRule="exact"/>
        <w:rPr>
          <w:sz w:val="24"/>
          <w:szCs w:val="24"/>
          <w:color w:val="auto"/>
        </w:rPr>
      </w:pPr>
    </w:p>
    <w:p>
      <w:pPr>
        <w:sectPr>
          <w:pgSz w:w="11900" w:h="16838" w:orient="portrait"/>
          <w:cols w:equalWidth="0" w:num="2">
            <w:col w:w="7800" w:space="720"/>
            <w:col w:w="2740"/>
          </w:cols>
          <w:pgMar w:left="320" w:top="1388" w:right="319" w:bottom="1440" w:gutter="0" w:footer="0" w:header="0"/>
          <w:type w:val="continuous"/>
        </w:sectPr>
      </w:pPr>
    </w:p>
    <w:p>
      <w:pPr>
        <w:jc w:val="center"/>
        <w:ind w:left="5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620" w:space="720"/>
            <w:col w:w="2920"/>
          </w:cols>
          <w:pgMar w:left="320" w:top="1388" w:right="319" w:bottom="1440" w:gutter="0" w:footer="0" w:header="0"/>
          <w:type w:val="continuous"/>
        </w:sectPr>
      </w:pPr>
    </w:p>
    <w:p>
      <w:pPr>
        <w:spacing w:after="0" w:line="264"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(303) 963-7200</w:t>
      </w:r>
    </w:p>
    <w:p>
      <w:pPr>
        <w:spacing w:after="0" w:line="121"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87"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48"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2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40"/>
        </w:trPr>
        <w:tc>
          <w:tcPr>
            <w:tcW w:w="4280" w:type="dxa"/>
            <w:vAlign w:val="bottom"/>
            <w:tcBorders>
              <w:left w:val="single" w:sz="8" w:color="auto"/>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37"/>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$0.001</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ANGI</w:t>
            </w:r>
          </w:p>
        </w:tc>
        <w:tc>
          <w:tcPr>
            <w:tcW w:w="4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83"/>
        </w:trPr>
        <w:tc>
          <w:tcPr>
            <w:tcW w:w="4280" w:type="dxa"/>
            <w:vAlign w:val="bottom"/>
            <w:tcBorders>
              <w:left w:val="single" w:sz="8" w:color="auto"/>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4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27"/>
        </w:trPr>
        <w:tc>
          <w:tcPr>
            <w:tcW w:w="428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960" w:type="dxa"/>
            <w:vAlign w:val="bottom"/>
            <w:tcBorders>
              <w:bottom w:val="single" w:sz="8" w:color="auto"/>
              <w:right w:val="single" w:sz="8" w:color="auto"/>
            </w:tcBorders>
          </w:tcPr>
          <w:p>
            <w:pPr>
              <w:spacing w:after="0"/>
              <w:rPr>
                <w:sz w:val="2"/>
                <w:szCs w:val="2"/>
                <w:color w:val="auto"/>
              </w:rPr>
            </w:pPr>
          </w:p>
        </w:tc>
      </w:tr>
      <w:tr>
        <w:trPr>
          <w:trHeight w:val="1648"/>
        </w:trPr>
        <w:tc>
          <w:tcPr>
            <w:tcW w:w="42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388" w:right="319" w:bottom="1440" w:gutter="0" w:footer="0" w:header="0"/>
          <w:type w:val="continuous"/>
        </w:sectPr>
      </w:pPr>
    </w:p>
    <w:bookmarkStart w:id="1" w:name="page2"/>
    <w:bookmarkEnd w:id="1"/>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35" w:lineRule="exact"/>
        <w:rPr>
          <w:sz w:val="20"/>
          <w:szCs w:val="20"/>
          <w:color w:val="auto"/>
        </w:rPr>
      </w:pPr>
    </w:p>
    <w:p>
      <w:pPr>
        <w:ind w:firstLine="567"/>
        <w:spacing w:after="0" w:line="272" w:lineRule="auto"/>
        <w:rPr>
          <w:sz w:val="20"/>
          <w:szCs w:val="20"/>
          <w:color w:val="auto"/>
        </w:rPr>
      </w:pPr>
      <w:r>
        <w:rPr>
          <w:rFonts w:ascii="Times New Roman" w:cs="Times New Roman" w:eastAsia="Times New Roman" w:hAnsi="Times New Roman"/>
          <w:sz w:val="17"/>
          <w:szCs w:val="17"/>
          <w:color w:val="auto"/>
        </w:rPr>
        <w:t>On August 6, 2024, the Registrant filed a Current Report on Form 8-K with Items 2.02, 7.01 and 9.01 (the “Original Report”). Due to an administrative error, the submission header coding in the Original Report inadvertently referred only to Items 7.01 and 9.01 on EDGAR (and not to Items 2.02, 7.01 and 9.01). This Amendment No. 1 on Form 8-K/A is being filed for the sole purpose of correcting the submission header coding to refer to Items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 7.01 and 9.01. All disclosures contained in the Original Report remain unchanged.</w:t>
      </w:r>
    </w:p>
    <w:p>
      <w:pPr>
        <w:spacing w:after="0" w:line="27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3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00" w:lineRule="exact"/>
        <w:rPr>
          <w:sz w:val="20"/>
          <w:szCs w:val="20"/>
          <w:color w:val="auto"/>
        </w:rPr>
      </w:pPr>
    </w:p>
    <w:p>
      <w:pPr>
        <w:spacing w:after="0" w:line="250" w:lineRule="exact"/>
        <w:rPr>
          <w:sz w:val="20"/>
          <w:szCs w:val="20"/>
          <w:color w:val="auto"/>
        </w:rPr>
      </w:pPr>
    </w:p>
    <w:p>
      <w:pPr>
        <w:ind w:right="20" w:firstLine="567"/>
        <w:spacing w:after="0" w:line="266" w:lineRule="auto"/>
        <w:rPr>
          <w:sz w:val="20"/>
          <w:szCs w:val="20"/>
          <w:color w:val="auto"/>
        </w:rPr>
      </w:pPr>
      <w:r>
        <w:rPr>
          <w:rFonts w:ascii="Times New Roman" w:cs="Times New Roman" w:eastAsia="Times New Roman" w:hAnsi="Times New Roman"/>
          <w:sz w:val="18"/>
          <w:szCs w:val="18"/>
          <w:color w:val="auto"/>
        </w:rPr>
        <w:t xml:space="preserve">On August 6, 2024, the Registrant announced that it had released its results for the quarter ended June 30, 2024. The full text of the related press release, which is posted on the "Investor Relations" section of the Registrant's website at </w:t>
      </w:r>
      <w:r>
        <w:rPr>
          <w:rFonts w:ascii="Times New Roman" w:cs="Times New Roman" w:eastAsia="Times New Roman" w:hAnsi="Times New Roman"/>
          <w:sz w:val="18"/>
          <w:szCs w:val="18"/>
          <w:i w:val="1"/>
          <w:iCs w:val="1"/>
          <w:color w:val="auto"/>
        </w:rPr>
        <w:t>https://ir.angi.com/quarterly-earnings</w:t>
      </w:r>
      <w:r>
        <w:rPr>
          <w:rFonts w:ascii="Times New Roman" w:cs="Times New Roman" w:eastAsia="Times New Roman" w:hAnsi="Times New Roman"/>
          <w:sz w:val="18"/>
          <w:szCs w:val="18"/>
          <w:color w:val="auto"/>
        </w:rPr>
        <w:t xml:space="preserve"> and appears in Exhibit 99.1 hereto, is incorporated herein by reference.</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Exhibit 99.1 is being furnished under both Item 2.02 "Results of Operations and Financial Condition" and Item 7.01 "Regulation FD Disclosure."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ectPr>
          <w:pgSz w:w="11900" w:h="16838" w:orient="portrait"/>
          <w:cols w:equalWidth="0" w:num="1">
            <w:col w:w="11200"/>
          </w:cols>
          <w:pgMar w:left="320" w:top="1251" w:right="379" w:bottom="1440" w:gutter="0" w:footer="0" w:header="0"/>
        </w:sectPr>
      </w:pPr>
    </w:p>
    <w:p>
      <w:pPr>
        <w:spacing w:after="0" w:line="3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jc w:val="center"/>
        <w:ind w:right="4640"/>
        <w:spacing w:after="0"/>
        <w:rPr>
          <w:sz w:val="20"/>
          <w:szCs w:val="20"/>
          <w:color w:val="auto"/>
        </w:rPr>
      </w:pP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52705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5" w:lineRule="exact"/>
        <w:rPr>
          <w:sz w:val="20"/>
          <w:szCs w:val="20"/>
          <w:color w:val="auto"/>
        </w:rPr>
      </w:pPr>
    </w:p>
    <w:p>
      <w:pPr>
        <w:sectPr>
          <w:pgSz w:w="11900" w:h="16838" w:orient="portrait"/>
          <w:cols w:equalWidth="0" w:num="2">
            <w:col w:w="4960" w:space="720"/>
            <w:col w:w="5520"/>
          </w:cols>
          <w:pgMar w:left="320" w:top="1251" w:right="37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18"/>
          <w:szCs w:val="18"/>
          <w:u w:val="single" w:color="auto"/>
          <w:color w:val="0000FF"/>
        </w:rPr>
        <w:t>99.1 Press Release of Angi Inc., dated August 6, 2024.</w:t>
      </w:r>
    </w:p>
    <w:p>
      <w:pPr>
        <w:spacing w:after="0" w:line="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104 Cover Page Interactive Data File (embedded within the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877570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08" w:lineRule="exact"/>
        <w:rPr>
          <w:sz w:val="20"/>
          <w:szCs w:val="20"/>
          <w:color w:val="auto"/>
        </w:rPr>
      </w:pPr>
    </w:p>
    <w:tbl>
      <w:tblPr>
        <w:tblLayout w:type="fixed"/>
        <w:tblInd w:w="6200"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ANGI INC.</w:t>
            </w:r>
          </w:p>
        </w:tc>
        <w:tc>
          <w:tcPr>
            <w:tcW w:w="3260" w:type="dxa"/>
            <w:vAlign w:val="bottom"/>
          </w:tcPr>
          <w:p>
            <w:pPr>
              <w:spacing w:after="0"/>
              <w:rPr>
                <w:sz w:val="20"/>
                <w:szCs w:val="20"/>
                <w:color w:val="auto"/>
              </w:rPr>
            </w:pPr>
          </w:p>
        </w:tc>
      </w:tr>
      <w:tr>
        <w:trPr>
          <w:trHeight w:val="53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Shannon M. Shaw</w:t>
            </w:r>
          </w:p>
        </w:tc>
      </w:tr>
      <w:tr>
        <w:trPr>
          <w:trHeight w:val="24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Shannon M. Shaw</w:t>
            </w:r>
          </w:p>
        </w:tc>
      </w:tr>
      <w:tr>
        <w:trPr>
          <w:trHeight w:val="257"/>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w:t>
            </w:r>
          </w:p>
        </w:tc>
      </w:tr>
    </w:tbl>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14, 2024</w:t>
      </w:r>
    </w:p>
    <w:p>
      <w:pPr>
        <w:sectPr>
          <w:pgSz w:w="11900" w:h="16838" w:orient="portrait"/>
          <w:cols w:equalWidth="0" w:num="1">
            <w:col w:w="11240"/>
          </w:cols>
          <w:pgMar w:left="320" w:top="1251"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Page 1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702945</wp:posOffset>
            </wp:positionV>
            <wp:extent cx="1148715" cy="771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871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ANGI REPORTS Q2 2024</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Q2 operating income impr</w:t>
      </w:r>
      <w:r>
        <w:rPr>
          <w:rFonts w:ascii="Times New Roman" w:cs="Times New Roman" w:eastAsia="Times New Roman" w:hAnsi="Times New Roman"/>
          <w:sz w:val="19"/>
          <w:szCs w:val="19"/>
          <w:i w:val="1"/>
          <w:iCs w:val="1"/>
          <w:color w:val="auto"/>
        </w:rPr>
        <w:t>oves $25 million to $9 million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 xml:space="preserve">Q2 Adjusted EBITDA improves </w:t>
      </w:r>
      <w:r>
        <w:rPr>
          <w:rFonts w:ascii="Times New Roman" w:cs="Times New Roman" w:eastAsia="Times New Roman" w:hAnsi="Times New Roman"/>
          <w:sz w:val="19"/>
          <w:szCs w:val="19"/>
          <w:i w:val="1"/>
          <w:iCs w:val="1"/>
          <w:color w:val="auto"/>
        </w:rPr>
        <w:t>115%</w:t>
      </w:r>
      <w:r>
        <w:rPr>
          <w:rFonts w:ascii="Times New Roman" w:cs="Times New Roman" w:eastAsia="Times New Roman" w:hAnsi="Times New Roman"/>
          <w:sz w:val="22"/>
          <w:szCs w:val="22"/>
          <w:i w:val="1"/>
          <w:iCs w:val="1"/>
          <w:color w:val="auto"/>
        </w:rPr>
        <w:t xml:space="preserve"> to </w:t>
      </w:r>
      <w:r>
        <w:rPr>
          <w:rFonts w:ascii="Times New Roman" w:cs="Times New Roman" w:eastAsia="Times New Roman" w:hAnsi="Times New Roman"/>
          <w:sz w:val="19"/>
          <w:szCs w:val="19"/>
          <w:i w:val="1"/>
          <w:iCs w:val="1"/>
          <w:color w:val="auto"/>
        </w:rPr>
        <w:t>$42 million</w:t>
      </w:r>
    </w:p>
    <w:p>
      <w:pPr>
        <w:spacing w:after="0" w:line="197"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9"/>
          <w:szCs w:val="19"/>
          <w:color w:val="auto"/>
        </w:rPr>
        <w:t xml:space="preserve">DENVER — August 6, 2024 — Angi Inc. (NASDAQ: ANGI) released its second quarter results today. A letter to IAC shareholders from Angi Inc, Chairman and IAC CEO Joey Levin is available on the Investor Relations section of IAC’s website at </w:t>
      </w:r>
      <w:r>
        <w:rPr>
          <w:rFonts w:ascii="Times New Roman" w:cs="Times New Roman" w:eastAsia="Times New Roman" w:hAnsi="Times New Roman"/>
          <w:sz w:val="19"/>
          <w:szCs w:val="19"/>
          <w:u w:val="single" w:color="auto"/>
          <w:color w:val="0E32E1"/>
        </w:rPr>
        <w:t>ir.iac.com</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147320</wp:posOffset>
            </wp:positionV>
            <wp:extent cx="5589270" cy="16459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89270" cy="1645920"/>
                    </a:xfrm>
                    <a:prstGeom prst="rect">
                      <a:avLst/>
                    </a:prstGeom>
                    <a:noFill/>
                  </pic:spPr>
                </pic:pic>
              </a:graphicData>
            </a:graphic>
          </wp:anchor>
        </w:drawing>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ANGI INC. SUMMARY RESULTS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p>
      <w:pPr>
        <w:spacing w:after="0" w:line="75" w:lineRule="exact"/>
        <w:rPr>
          <w:sz w:val="20"/>
          <w:szCs w:val="20"/>
          <w:color w:val="auto"/>
        </w:rPr>
      </w:pPr>
    </w:p>
    <w:tbl>
      <w:tblPr>
        <w:tblLayout w:type="fixed"/>
        <w:tblInd w:w="124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Q2 2024</w:t>
            </w:r>
          </w:p>
        </w:tc>
        <w:tc>
          <w:tcPr>
            <w:tcW w:w="440" w:type="dxa"/>
            <w:vAlign w:val="bottom"/>
          </w:tcPr>
          <w:p>
            <w:pPr>
              <w:spacing w:after="0"/>
              <w:rPr>
                <w:sz w:val="20"/>
                <w:szCs w:val="20"/>
                <w:color w:val="auto"/>
              </w:rPr>
            </w:pPr>
          </w:p>
        </w:tc>
        <w:tc>
          <w:tcPr>
            <w:tcW w:w="198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Q2 2023</w:t>
            </w: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Growth</w:t>
            </w:r>
          </w:p>
        </w:tc>
        <w:tc>
          <w:tcPr>
            <w:tcW w:w="20" w:type="dxa"/>
            <w:vAlign w:val="bottom"/>
          </w:tcPr>
          <w:p>
            <w:pPr>
              <w:spacing w:after="0"/>
              <w:rPr>
                <w:sz w:val="20"/>
                <w:szCs w:val="20"/>
                <w:color w:val="auto"/>
              </w:rPr>
            </w:pPr>
          </w:p>
        </w:tc>
      </w:tr>
      <w:tr>
        <w:trPr>
          <w:trHeight w:val="27"/>
        </w:trPr>
        <w:tc>
          <w:tcPr>
            <w:tcW w:w="3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4"/>
        </w:trPr>
        <w:tc>
          <w:tcPr>
            <w:tcW w:w="3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315.1</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351.6</w:t>
            </w: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-10 %</w:t>
            </w:r>
          </w:p>
        </w:tc>
        <w:tc>
          <w:tcPr>
            <w:tcW w:w="20" w:type="dxa"/>
            <w:vAlign w:val="bottom"/>
          </w:tcPr>
          <w:p>
            <w:pPr>
              <w:spacing w:after="0"/>
              <w:rPr>
                <w:sz w:val="21"/>
                <w:szCs w:val="21"/>
                <w:color w:val="auto"/>
              </w:rPr>
            </w:pPr>
          </w:p>
        </w:tc>
      </w:tr>
      <w:tr>
        <w:trPr>
          <w:trHeight w:val="243"/>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9.2</w:t>
            </w:r>
          </w:p>
        </w:tc>
        <w:tc>
          <w:tcPr>
            <w:tcW w:w="440" w:type="dxa"/>
            <w:vAlign w:val="bottom"/>
          </w:tcPr>
          <w:p>
            <w:pPr>
              <w:spacing w:after="0"/>
              <w:rPr>
                <w:sz w:val="21"/>
                <w:szCs w:val="21"/>
                <w:color w:val="auto"/>
              </w:rPr>
            </w:pPr>
          </w:p>
        </w:tc>
        <w:tc>
          <w:tcPr>
            <w:tcW w:w="19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(15.4)</w:t>
            </w: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c>
          <w:tcPr>
            <w:tcW w:w="20" w:type="dxa"/>
            <w:vAlign w:val="bottom"/>
          </w:tcPr>
          <w:p>
            <w:pPr>
              <w:spacing w:after="0"/>
              <w:rPr>
                <w:sz w:val="21"/>
                <w:szCs w:val="21"/>
                <w:color w:val="auto"/>
              </w:rPr>
            </w:pPr>
          </w:p>
        </w:tc>
      </w:tr>
      <w:tr>
        <w:trPr>
          <w:trHeight w:val="27"/>
        </w:trPr>
        <w:tc>
          <w:tcPr>
            <w:tcW w:w="3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earnings (loss)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w:t>
            </w:r>
          </w:p>
        </w:tc>
        <w:tc>
          <w:tcPr>
            <w:tcW w:w="4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(14.7)</w:t>
            </w: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c>
          <w:tcPr>
            <w:tcW w:w="20" w:type="dxa"/>
            <w:vAlign w:val="bottom"/>
          </w:tcPr>
          <w:p>
            <w:pPr>
              <w:spacing w:after="0"/>
              <w:rPr>
                <w:sz w:val="21"/>
                <w:szCs w:val="21"/>
                <w:color w:val="auto"/>
              </w:rPr>
            </w:pPr>
          </w:p>
        </w:tc>
      </w:tr>
      <w:tr>
        <w:trPr>
          <w:trHeight w:val="243"/>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6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0.01</w:t>
            </w:r>
          </w:p>
        </w:tc>
        <w:tc>
          <w:tcPr>
            <w:tcW w:w="440" w:type="dxa"/>
            <w:vAlign w:val="bottom"/>
          </w:tcPr>
          <w:p>
            <w:pPr>
              <w:spacing w:after="0"/>
              <w:rPr>
                <w:sz w:val="21"/>
                <w:szCs w:val="21"/>
                <w:color w:val="auto"/>
              </w:rPr>
            </w:pPr>
          </w:p>
        </w:tc>
        <w:tc>
          <w:tcPr>
            <w:tcW w:w="19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(0.03)</w:t>
            </w: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c>
          <w:tcPr>
            <w:tcW w:w="20" w:type="dxa"/>
            <w:vAlign w:val="bottom"/>
          </w:tcPr>
          <w:p>
            <w:pPr>
              <w:spacing w:after="0"/>
              <w:rPr>
                <w:sz w:val="21"/>
                <w:szCs w:val="21"/>
                <w:color w:val="auto"/>
              </w:rPr>
            </w:pPr>
          </w:p>
        </w:tc>
      </w:tr>
      <w:tr>
        <w:trPr>
          <w:trHeight w:val="27"/>
        </w:trPr>
        <w:tc>
          <w:tcPr>
            <w:tcW w:w="3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42.2</w:t>
            </w:r>
          </w:p>
        </w:tc>
        <w:tc>
          <w:tcPr>
            <w:tcW w:w="440" w:type="dxa"/>
            <w:vAlign w:val="bottom"/>
            <w:shd w:val="clear" w:color="auto" w:fill="CCEEFF"/>
          </w:tcPr>
          <w:p>
            <w:pPr>
              <w:spacing w:after="0"/>
              <w:rPr>
                <w:sz w:val="21"/>
                <w:szCs w:val="21"/>
                <w:color w:val="auto"/>
              </w:rPr>
            </w:pPr>
          </w:p>
        </w:tc>
        <w:tc>
          <w:tcPr>
            <w:tcW w:w="19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19.6</w:t>
            </w:r>
          </w:p>
        </w:tc>
        <w:tc>
          <w:tcPr>
            <w:tcW w:w="14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115 %</w:t>
            </w:r>
          </w:p>
        </w:tc>
        <w:tc>
          <w:tcPr>
            <w:tcW w:w="20" w:type="dxa"/>
            <w:vAlign w:val="bottom"/>
          </w:tcPr>
          <w:p>
            <w:pPr>
              <w:spacing w:after="0"/>
              <w:rPr>
                <w:sz w:val="21"/>
                <w:szCs w:val="21"/>
                <w:color w:val="auto"/>
              </w:rPr>
            </w:pPr>
          </w:p>
        </w:tc>
      </w:tr>
      <w:tr>
        <w:trPr>
          <w:trHeight w:val="27"/>
        </w:trPr>
        <w:tc>
          <w:tcPr>
            <w:tcW w:w="3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xml:space="preserve">See reconciliations of GAAP to non-GAAP measures beginning on page </w:t>
      </w:r>
      <w:r>
        <w:rPr>
          <w:rFonts w:ascii="Times New Roman" w:cs="Times New Roman" w:eastAsia="Times New Roman" w:hAnsi="Times New Roman"/>
          <w:sz w:val="18"/>
          <w:szCs w:val="18"/>
          <w:i w:val="1"/>
          <w:iCs w:val="1"/>
          <w:u w:val="single" w:color="auto"/>
          <w:color w:val="0000FF"/>
        </w:rPr>
        <w:t>10</w:t>
      </w:r>
      <w:r>
        <w:rPr>
          <w:rFonts w:ascii="Times New Roman" w:cs="Times New Roman" w:eastAsia="Times New Roman" w:hAnsi="Times New Roman"/>
          <w:sz w:val="18"/>
          <w:szCs w:val="18"/>
          <w:i w:val="1"/>
          <w:iCs w:val="1"/>
          <w:color w:val="auto"/>
        </w:rPr>
        <w:t>.</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Q2 2024 HIGHLIGHTS</w:t>
      </w:r>
    </w:p>
    <w:p>
      <w:pPr>
        <w:spacing w:after="0" w:line="170" w:lineRule="exact"/>
        <w:rPr>
          <w:sz w:val="20"/>
          <w:szCs w:val="20"/>
          <w:color w:val="auto"/>
        </w:rPr>
      </w:pPr>
    </w:p>
    <w:p>
      <w:pPr>
        <w:ind w:left="340" w:right="20" w:hanging="332"/>
        <w:spacing w:after="0" w:line="266"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increased $25 million to $9 million and Adjusted EBITDA increased 115% to $42.2 million driven by growth at Ads and Leads, International and Services.</w:t>
      </w:r>
    </w:p>
    <w:p>
      <w:pPr>
        <w:spacing w:after="0" w:line="14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Monetized Transactions per Service Request increased 20% to 1.37.</w:t>
      </w:r>
    </w:p>
    <w:p>
      <w:pPr>
        <w:spacing w:after="0" w:line="184"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May 3, 2024 and August 2, 2024, Angi Inc. repurchased 4.1 million common shares for an aggregate of $8.6 million (average share price of $2.11 per share).</w:t>
      </w:r>
    </w:p>
    <w:p>
      <w:pPr>
        <w:spacing w:after="0" w:line="148" w:lineRule="exact"/>
        <w:rPr>
          <w:rFonts w:ascii="Times New Roman" w:cs="Times New Roman" w:eastAsia="Times New Roman" w:hAnsi="Times New Roman"/>
          <w:sz w:val="18"/>
          <w:szCs w:val="18"/>
          <w:color w:val="auto"/>
        </w:rPr>
      </w:pPr>
    </w:p>
    <w:p>
      <w:pPr>
        <w:ind w:left="980" w:hanging="324"/>
        <w:spacing w:after="0" w:line="266" w:lineRule="auto"/>
        <w:tabs>
          <w:tab w:leader="none" w:pos="99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Angi Inc. has repurchased 13.4 million shares since announcing the intent to fully utilize its share repurchase authorization in November 2023.</w:t>
      </w:r>
    </w:p>
    <w:p>
      <w:pPr>
        <w:spacing w:after="0" w:line="13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 2024, the Angi Board of Directors approved a new stock repurchase authorization of 25 million shares.</w:t>
      </w:r>
    </w:p>
    <w:p>
      <w:pPr>
        <w:spacing w:after="0" w:line="19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revenue grew 14% with expanding margins (operating income increased 159% and Adjusted EBITDA increased 81%).</w:t>
      </w:r>
    </w:p>
    <w:p>
      <w:pPr>
        <w:spacing w:after="0" w:line="198"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six months ended June 30, 2024, net cash provided by operating activities attributable to continuing operations was $85 million and Free Cash Flow was $60 million.</w:t>
      </w:r>
    </w:p>
    <w:p>
      <w:pPr>
        <w:spacing w:after="0" w:line="13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full year 2024, Angi Inc. expects ($10)-$40 million of operating (loss) income and $130-$150 million of Adjusted EBITDA.</w:t>
      </w:r>
    </w:p>
    <w:p>
      <w:pPr>
        <w:sectPr>
          <w:pgSz w:w="11900" w:h="16838" w:orient="portrait"/>
          <w:cols w:equalWidth="0" w:num="1">
            <w:col w:w="11240"/>
          </w:cols>
          <w:pgMar w:left="320" w:top="121"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Page 2 of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0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60" w:type="dxa"/>
            <w:vAlign w:val="bottom"/>
          </w:tcPr>
          <w:p>
            <w:pPr>
              <w:spacing w:after="0"/>
              <w:rPr>
                <w:sz w:val="22"/>
                <w:szCs w:val="22"/>
                <w:color w:val="auto"/>
              </w:rPr>
            </w:pPr>
          </w:p>
        </w:tc>
        <w:tc>
          <w:tcPr>
            <w:tcW w:w="59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60" w:type="dxa"/>
            <w:vAlign w:val="bottom"/>
          </w:tcPr>
          <w:p>
            <w:pPr>
              <w:spacing w:after="0"/>
              <w:rPr>
                <w:sz w:val="22"/>
                <w:szCs w:val="22"/>
                <w:color w:val="auto"/>
              </w:rPr>
            </w:pPr>
          </w:p>
        </w:tc>
        <w:tc>
          <w:tcPr>
            <w:tcW w:w="5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Q2 2024</w:t>
            </w:r>
          </w:p>
        </w:tc>
        <w:tc>
          <w:tcPr>
            <w:tcW w:w="380" w:type="dxa"/>
            <w:vAlign w:val="bottom"/>
          </w:tcPr>
          <w:p>
            <w:pPr>
              <w:spacing w:after="0"/>
              <w:rPr>
                <w:sz w:val="22"/>
                <w:szCs w:val="22"/>
                <w:color w:val="auto"/>
              </w:rPr>
            </w:pPr>
          </w:p>
        </w:tc>
        <w:tc>
          <w:tcPr>
            <w:tcW w:w="1240" w:type="dxa"/>
            <w:vAlign w:val="bottom"/>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Q2 2023</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Growth</w:t>
            </w:r>
          </w:p>
        </w:tc>
        <w:tc>
          <w:tcPr>
            <w:tcW w:w="0" w:type="dxa"/>
            <w:vAlign w:val="bottom"/>
          </w:tcPr>
          <w:p>
            <w:pPr>
              <w:spacing w:after="0"/>
              <w:rPr>
                <w:sz w:val="1"/>
                <w:szCs w:val="1"/>
                <w:color w:val="auto"/>
              </w:rPr>
            </w:pPr>
          </w:p>
        </w:tc>
      </w:tr>
      <w:tr>
        <w:trPr>
          <w:trHeight w:val="35"/>
        </w:trPr>
        <w:tc>
          <w:tcPr>
            <w:tcW w:w="160" w:type="dxa"/>
            <w:vAlign w:val="bottom"/>
          </w:tcPr>
          <w:p>
            <w:pPr>
              <w:spacing w:after="0"/>
              <w:rPr>
                <w:sz w:val="3"/>
                <w:szCs w:val="3"/>
                <w:color w:val="auto"/>
              </w:rPr>
            </w:pPr>
          </w:p>
        </w:tc>
        <w:tc>
          <w:tcPr>
            <w:tcW w:w="5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rounding differences may occur)</w:t>
            </w: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59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160" w:type="dxa"/>
            <w:vAlign w:val="bottom"/>
          </w:tcPr>
          <w:p>
            <w:pPr>
              <w:spacing w:after="0"/>
              <w:rPr>
                <w:sz w:val="24"/>
                <w:szCs w:val="24"/>
                <w:color w:val="auto"/>
              </w:rPr>
            </w:pPr>
          </w:p>
        </w:tc>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Ads and Leads</w:t>
            </w: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257.3</w:t>
            </w:r>
          </w:p>
        </w:tc>
        <w:tc>
          <w:tcPr>
            <w:tcW w:w="3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292.5</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-12 %</w:t>
            </w:r>
          </w:p>
        </w:tc>
        <w:tc>
          <w:tcPr>
            <w:tcW w:w="0" w:type="dxa"/>
            <w:vAlign w:val="bottom"/>
          </w:tcPr>
          <w:p>
            <w:pPr>
              <w:spacing w:after="0"/>
              <w:rPr>
                <w:sz w:val="1"/>
                <w:szCs w:val="1"/>
                <w:color w:val="auto"/>
              </w:rPr>
            </w:pPr>
          </w:p>
        </w:tc>
      </w:tr>
      <w:tr>
        <w:trPr>
          <w:trHeight w:val="263"/>
        </w:trPr>
        <w:tc>
          <w:tcPr>
            <w:tcW w:w="160" w:type="dxa"/>
            <w:vAlign w:val="bottom"/>
          </w:tcPr>
          <w:p>
            <w:pPr>
              <w:spacing w:after="0"/>
              <w:rPr>
                <w:sz w:val="22"/>
                <w:szCs w:val="22"/>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Services</w:t>
            </w:r>
          </w:p>
        </w:tc>
        <w:tc>
          <w:tcPr>
            <w:tcW w:w="26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24.6</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-18 %</w:t>
            </w:r>
          </w:p>
        </w:tc>
        <w:tc>
          <w:tcPr>
            <w:tcW w:w="0" w:type="dxa"/>
            <w:vAlign w:val="bottom"/>
          </w:tcPr>
          <w:p>
            <w:pPr>
              <w:spacing w:after="0"/>
              <w:rPr>
                <w:sz w:val="1"/>
                <w:szCs w:val="1"/>
                <w:color w:val="auto"/>
              </w:rPr>
            </w:pPr>
          </w:p>
        </w:tc>
      </w:tr>
      <w:tr>
        <w:trPr>
          <w:trHeight w:val="34"/>
        </w:trPr>
        <w:tc>
          <w:tcPr>
            <w:tcW w:w="160" w:type="dxa"/>
            <w:vAlign w:val="bottom"/>
          </w:tcPr>
          <w:p>
            <w:pPr>
              <w:spacing w:after="0"/>
              <w:rPr>
                <w:sz w:val="3"/>
                <w:szCs w:val="3"/>
                <w:color w:val="auto"/>
              </w:rPr>
            </w:pPr>
          </w:p>
        </w:tc>
        <w:tc>
          <w:tcPr>
            <w:tcW w:w="59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8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160" w:type="dxa"/>
            <w:vAlign w:val="bottom"/>
          </w:tcPr>
          <w:p>
            <w:pPr>
              <w:spacing w:after="0"/>
              <w:rPr>
                <w:sz w:val="23"/>
                <w:szCs w:val="23"/>
                <w:color w:val="auto"/>
              </w:rPr>
            </w:pPr>
          </w:p>
        </w:tc>
        <w:tc>
          <w:tcPr>
            <w:tcW w:w="5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Total Domestic</w:t>
            </w: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281.9</w:t>
            </w:r>
          </w:p>
        </w:tc>
        <w:tc>
          <w:tcPr>
            <w:tcW w:w="3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322.4</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-13 %</w:t>
            </w:r>
          </w:p>
        </w:tc>
        <w:tc>
          <w:tcPr>
            <w:tcW w:w="0" w:type="dxa"/>
            <w:vAlign w:val="bottom"/>
          </w:tcPr>
          <w:p>
            <w:pPr>
              <w:spacing w:after="0"/>
              <w:rPr>
                <w:sz w:val="1"/>
                <w:szCs w:val="1"/>
                <w:color w:val="auto"/>
              </w:rPr>
            </w:pPr>
          </w:p>
        </w:tc>
      </w:tr>
      <w:tr>
        <w:trPr>
          <w:trHeight w:val="263"/>
        </w:trPr>
        <w:tc>
          <w:tcPr>
            <w:tcW w:w="160" w:type="dxa"/>
            <w:vAlign w:val="bottom"/>
          </w:tcPr>
          <w:p>
            <w:pPr>
              <w:spacing w:after="0"/>
              <w:rPr>
                <w:sz w:val="22"/>
                <w:szCs w:val="22"/>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International</w:t>
            </w:r>
          </w:p>
        </w:tc>
        <w:tc>
          <w:tcPr>
            <w:tcW w:w="26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33.2</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14 %</w:t>
            </w:r>
          </w:p>
        </w:tc>
        <w:tc>
          <w:tcPr>
            <w:tcW w:w="0" w:type="dxa"/>
            <w:vAlign w:val="bottom"/>
          </w:tcPr>
          <w:p>
            <w:pPr>
              <w:spacing w:after="0"/>
              <w:rPr>
                <w:sz w:val="1"/>
                <w:szCs w:val="1"/>
                <w:color w:val="auto"/>
              </w:rPr>
            </w:pPr>
          </w:p>
        </w:tc>
      </w:tr>
      <w:tr>
        <w:trPr>
          <w:trHeight w:val="34"/>
        </w:trPr>
        <w:tc>
          <w:tcPr>
            <w:tcW w:w="160" w:type="dxa"/>
            <w:vAlign w:val="bottom"/>
          </w:tcPr>
          <w:p>
            <w:pPr>
              <w:spacing w:after="0"/>
              <w:rPr>
                <w:sz w:val="3"/>
                <w:szCs w:val="3"/>
                <w:color w:val="auto"/>
              </w:rPr>
            </w:pPr>
          </w:p>
        </w:tc>
        <w:tc>
          <w:tcPr>
            <w:tcW w:w="59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8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160" w:type="dxa"/>
            <w:vAlign w:val="bottom"/>
          </w:tcPr>
          <w:p>
            <w:pPr>
              <w:spacing w:after="0"/>
              <w:rPr>
                <w:sz w:val="24"/>
                <w:szCs w:val="24"/>
                <w:color w:val="auto"/>
              </w:rPr>
            </w:pPr>
          </w:p>
        </w:tc>
        <w:tc>
          <w:tcPr>
            <w:tcW w:w="5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Total</w:t>
            </w:r>
          </w:p>
        </w:tc>
        <w:tc>
          <w:tcPr>
            <w:tcW w:w="2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315.1</w:t>
            </w:r>
          </w:p>
        </w:tc>
        <w:tc>
          <w:tcPr>
            <w:tcW w:w="3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351.6</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-10 %</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was $315.1 million, down 10% year-over-year driven by:</w:t>
      </w:r>
    </w:p>
    <w:p>
      <w:pPr>
        <w:spacing w:after="0" w:line="306" w:lineRule="exact"/>
        <w:rPr>
          <w:rFonts w:ascii="Times New Roman" w:cs="Times New Roman" w:eastAsia="Times New Roman" w:hAnsi="Times New Roman"/>
          <w:sz w:val="20"/>
          <w:szCs w:val="20"/>
          <w:color w:val="auto"/>
        </w:rPr>
      </w:pPr>
    </w:p>
    <w:p>
      <w:pPr>
        <w:ind w:left="980" w:right="20" w:hanging="324"/>
        <w:spacing w:after="0" w:line="343" w:lineRule="auto"/>
        <w:tabs>
          <w:tab w:leader="none" w:pos="983" w:val="left"/>
        </w:tabs>
        <w:numPr>
          <w:ilvl w:val="1"/>
          <w:numId w:val="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Ads and Leads </w:t>
      </w:r>
      <w:r>
        <w:rPr>
          <w:rFonts w:ascii="Times New Roman" w:cs="Times New Roman" w:eastAsia="Times New Roman" w:hAnsi="Times New Roman"/>
          <w:sz w:val="20"/>
          <w:szCs w:val="20"/>
          <w:color w:val="auto"/>
        </w:rPr>
        <w:t>revenue decreased 12% driven by ongoing user-experience enhancements as well as lower sales and marketing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spend, resulting in both lower service requests and lower acquisition of new service professionals</w:t>
      </w:r>
    </w:p>
    <w:p>
      <w:pPr>
        <w:spacing w:after="0" w:line="179" w:lineRule="exact"/>
        <w:rPr>
          <w:rFonts w:ascii="Times New Roman" w:cs="Times New Roman" w:eastAsia="Times New Roman" w:hAnsi="Times New Roman"/>
          <w:sz w:val="20"/>
          <w:szCs w:val="20"/>
          <w:i w:val="1"/>
          <w:iCs w:val="1"/>
          <w:color w:val="auto"/>
        </w:rPr>
      </w:pPr>
    </w:p>
    <w:p>
      <w:pPr>
        <w:ind w:left="960" w:hanging="304"/>
        <w:spacing w:after="0"/>
        <w:tabs>
          <w:tab w:leader="none" w:pos="960" w:val="left"/>
        </w:tabs>
        <w:numPr>
          <w:ilvl w:val="1"/>
          <w:numId w:val="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Services </w:t>
      </w:r>
      <w:r>
        <w:rPr>
          <w:rFonts w:ascii="Times New Roman" w:cs="Times New Roman" w:eastAsia="Times New Roman" w:hAnsi="Times New Roman"/>
          <w:sz w:val="20"/>
          <w:szCs w:val="20"/>
          <w:color w:val="auto"/>
        </w:rPr>
        <w:t>revenue decreased 18% due to margin-optimization initiatives and lower service requests</w:t>
      </w:r>
    </w:p>
    <w:p>
      <w:pPr>
        <w:spacing w:after="0" w:line="310" w:lineRule="exact"/>
        <w:rPr>
          <w:rFonts w:ascii="Times New Roman" w:cs="Times New Roman" w:eastAsia="Times New Roman" w:hAnsi="Times New Roman"/>
          <w:sz w:val="20"/>
          <w:szCs w:val="20"/>
          <w:i w:val="1"/>
          <w:iCs w:val="1"/>
          <w:color w:val="auto"/>
        </w:rPr>
      </w:pPr>
    </w:p>
    <w:p>
      <w:pPr>
        <w:ind w:left="980" w:right="20" w:hanging="324"/>
        <w:spacing w:after="0" w:line="343" w:lineRule="auto"/>
        <w:tabs>
          <w:tab w:leader="none" w:pos="983" w:val="left"/>
        </w:tabs>
        <w:numPr>
          <w:ilvl w:val="1"/>
          <w:numId w:val="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International </w:t>
      </w:r>
      <w:r>
        <w:rPr>
          <w:rFonts w:ascii="Times New Roman" w:cs="Times New Roman" w:eastAsia="Times New Roman" w:hAnsi="Times New Roman"/>
          <w:sz w:val="20"/>
          <w:szCs w:val="20"/>
          <w:color w:val="auto"/>
        </w:rPr>
        <w:t>revenue increased 14% driven primarily by a larger service professional network and higher revenue-per-service-professional</w:t>
      </w:r>
    </w:p>
    <w:p>
      <w:pPr>
        <w:sectPr>
          <w:pgSz w:w="11900" w:h="16838" w:orient="portrait"/>
          <w:cols w:equalWidth="0" w:num="1">
            <w:col w:w="11240"/>
          </w:cols>
          <w:pgMar w:left="320" w:top="121"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Page 3 of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7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income (loss) and Adjusted EBITDA</w:t>
            </w:r>
          </w:p>
        </w:tc>
        <w:tc>
          <w:tcPr>
            <w:tcW w:w="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160" w:type="dxa"/>
            <w:vAlign w:val="bottom"/>
          </w:tcPr>
          <w:p>
            <w:pPr>
              <w:spacing w:after="0"/>
              <w:rPr>
                <w:sz w:val="3"/>
                <w:szCs w:val="3"/>
                <w:color w:val="auto"/>
              </w:rPr>
            </w:pPr>
          </w:p>
        </w:tc>
        <w:tc>
          <w:tcPr>
            <w:tcW w:w="56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160" w:type="dxa"/>
            <w:vAlign w:val="bottom"/>
          </w:tcPr>
          <w:p>
            <w:pPr>
              <w:spacing w:after="0"/>
              <w:rPr>
                <w:sz w:val="22"/>
                <w:szCs w:val="22"/>
                <w:color w:val="auto"/>
              </w:rPr>
            </w:pPr>
          </w:p>
        </w:tc>
        <w:tc>
          <w:tcPr>
            <w:tcW w:w="5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0" w:type="dxa"/>
            <w:vAlign w:val="bottom"/>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Q2 2024</w:t>
            </w:r>
          </w:p>
        </w:tc>
        <w:tc>
          <w:tcPr>
            <w:tcW w:w="380" w:type="dxa"/>
            <w:vAlign w:val="bottom"/>
          </w:tcPr>
          <w:p>
            <w:pPr>
              <w:spacing w:after="0"/>
              <w:rPr>
                <w:sz w:val="22"/>
                <w:szCs w:val="22"/>
                <w:color w:val="auto"/>
              </w:rPr>
            </w:pPr>
          </w:p>
        </w:tc>
        <w:tc>
          <w:tcPr>
            <w:tcW w:w="1320" w:type="dxa"/>
            <w:vAlign w:val="bottom"/>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Q2 2023</w:t>
            </w: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Growth</w:t>
            </w:r>
          </w:p>
        </w:tc>
        <w:tc>
          <w:tcPr>
            <w:tcW w:w="0" w:type="dxa"/>
            <w:vAlign w:val="bottom"/>
          </w:tcPr>
          <w:p>
            <w:pPr>
              <w:spacing w:after="0"/>
              <w:rPr>
                <w:sz w:val="1"/>
                <w:szCs w:val="1"/>
                <w:color w:val="auto"/>
              </w:rPr>
            </w:pPr>
          </w:p>
        </w:tc>
      </w:tr>
      <w:tr>
        <w:trPr>
          <w:trHeight w:val="34"/>
        </w:trPr>
        <w:tc>
          <w:tcPr>
            <w:tcW w:w="160" w:type="dxa"/>
            <w:vAlign w:val="bottom"/>
          </w:tcPr>
          <w:p>
            <w:pPr>
              <w:spacing w:after="0"/>
              <w:rPr>
                <w:sz w:val="3"/>
                <w:szCs w:val="3"/>
                <w:color w:val="auto"/>
              </w:rPr>
            </w:pPr>
          </w:p>
        </w:tc>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rounding differences may occur)</w:t>
            </w:r>
          </w:p>
        </w:tc>
        <w:tc>
          <w:tcPr>
            <w:tcW w:w="2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56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160" w:type="dxa"/>
            <w:vAlign w:val="bottom"/>
          </w:tcPr>
          <w:p>
            <w:pPr>
              <w:spacing w:after="0"/>
              <w:rPr>
                <w:sz w:val="24"/>
                <w:szCs w:val="24"/>
                <w:color w:val="auto"/>
              </w:rPr>
            </w:pPr>
          </w:p>
        </w:tc>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Operating income (loss):</w:t>
            </w:r>
          </w:p>
        </w:tc>
        <w:tc>
          <w:tcPr>
            <w:tcW w:w="28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60" w:type="dxa"/>
            <w:vAlign w:val="bottom"/>
          </w:tcPr>
          <w:p>
            <w:pPr>
              <w:spacing w:after="0"/>
              <w:rPr>
                <w:sz w:val="22"/>
                <w:szCs w:val="22"/>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Ads and Leads</w:t>
            </w:r>
          </w:p>
        </w:tc>
        <w:tc>
          <w:tcPr>
            <w:tcW w:w="2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24.8</w:t>
            </w:r>
          </w:p>
        </w:tc>
        <w:tc>
          <w:tcPr>
            <w:tcW w:w="3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418 %</w:t>
            </w:r>
          </w:p>
        </w:tc>
        <w:tc>
          <w:tcPr>
            <w:tcW w:w="0" w:type="dxa"/>
            <w:vAlign w:val="bottom"/>
          </w:tcPr>
          <w:p>
            <w:pPr>
              <w:spacing w:after="0"/>
              <w:rPr>
                <w:sz w:val="1"/>
                <w:szCs w:val="1"/>
                <w:color w:val="auto"/>
              </w:rPr>
            </w:pPr>
          </w:p>
        </w:tc>
      </w:tr>
      <w:tr>
        <w:trPr>
          <w:trHeight w:val="35"/>
        </w:trPr>
        <w:tc>
          <w:tcPr>
            <w:tcW w:w="160" w:type="dxa"/>
            <w:vAlign w:val="bottom"/>
          </w:tcPr>
          <w:p>
            <w:pPr>
              <w:spacing w:after="0"/>
              <w:rPr>
                <w:sz w:val="3"/>
                <w:szCs w:val="3"/>
                <w:color w:val="auto"/>
              </w:rPr>
            </w:pPr>
          </w:p>
        </w:tc>
        <w:tc>
          <w:tcPr>
            <w:tcW w:w="5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7"/>
        </w:trPr>
        <w:tc>
          <w:tcPr>
            <w:tcW w:w="160" w:type="dxa"/>
            <w:vAlign w:val="bottom"/>
          </w:tcPr>
          <w:p>
            <w:pPr>
              <w:spacing w:after="0"/>
              <w:rPr>
                <w:sz w:val="24"/>
                <w:szCs w:val="24"/>
                <w:color w:val="auto"/>
              </w:rPr>
            </w:pPr>
          </w:p>
        </w:tc>
        <w:tc>
          <w:tcPr>
            <w:tcW w:w="56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Services</w:t>
            </w:r>
          </w:p>
        </w:tc>
        <w:tc>
          <w:tcPr>
            <w:tcW w:w="28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(4.5)</w:t>
            </w:r>
          </w:p>
        </w:tc>
        <w:tc>
          <w:tcPr>
            <w:tcW w:w="3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13 %</w:t>
            </w:r>
          </w:p>
        </w:tc>
        <w:tc>
          <w:tcPr>
            <w:tcW w:w="0" w:type="dxa"/>
            <w:vAlign w:val="bottom"/>
          </w:tcPr>
          <w:p>
            <w:pPr>
              <w:spacing w:after="0"/>
              <w:rPr>
                <w:sz w:val="1"/>
                <w:szCs w:val="1"/>
                <w:color w:val="auto"/>
              </w:rPr>
            </w:pPr>
          </w:p>
        </w:tc>
      </w:tr>
      <w:tr>
        <w:trPr>
          <w:trHeight w:val="263"/>
        </w:trPr>
        <w:tc>
          <w:tcPr>
            <w:tcW w:w="160" w:type="dxa"/>
            <w:vAlign w:val="bottom"/>
          </w:tcPr>
          <w:p>
            <w:pPr>
              <w:spacing w:after="0"/>
              <w:rPr>
                <w:sz w:val="22"/>
                <w:szCs w:val="22"/>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Corporate</w:t>
            </w:r>
          </w:p>
        </w:tc>
        <w:tc>
          <w:tcPr>
            <w:tcW w:w="280" w:type="dxa"/>
            <w:vAlign w:val="bottom"/>
          </w:tcPr>
          <w:p>
            <w:pPr>
              <w:spacing w:after="0"/>
              <w:rPr>
                <w:sz w:val="22"/>
                <w:szCs w:val="22"/>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(15.2)</w:t>
            </w: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w:t>
            </w: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8 %</w:t>
            </w:r>
          </w:p>
        </w:tc>
        <w:tc>
          <w:tcPr>
            <w:tcW w:w="0" w:type="dxa"/>
            <w:vAlign w:val="bottom"/>
          </w:tcPr>
          <w:p>
            <w:pPr>
              <w:spacing w:after="0"/>
              <w:rPr>
                <w:sz w:val="1"/>
                <w:szCs w:val="1"/>
                <w:color w:val="auto"/>
              </w:rPr>
            </w:pPr>
          </w:p>
        </w:tc>
      </w:tr>
      <w:tr>
        <w:trPr>
          <w:trHeight w:val="35"/>
        </w:trPr>
        <w:tc>
          <w:tcPr>
            <w:tcW w:w="160" w:type="dxa"/>
            <w:vAlign w:val="bottom"/>
          </w:tcPr>
          <w:p>
            <w:pPr>
              <w:spacing w:after="0"/>
              <w:rPr>
                <w:sz w:val="3"/>
                <w:szCs w:val="3"/>
                <w:color w:val="auto"/>
              </w:rPr>
            </w:pPr>
          </w:p>
        </w:tc>
        <w:tc>
          <w:tcPr>
            <w:tcW w:w="56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9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5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Total Domestic</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rPr>
              <w:t>5.1</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(17.0)</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63"/>
        </w:trPr>
        <w:tc>
          <w:tcPr>
            <w:tcW w:w="160" w:type="dxa"/>
            <w:vAlign w:val="bottom"/>
          </w:tcPr>
          <w:p>
            <w:pPr>
              <w:spacing w:after="0"/>
              <w:rPr>
                <w:sz w:val="22"/>
                <w:szCs w:val="22"/>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International</w:t>
            </w:r>
          </w:p>
        </w:tc>
        <w:tc>
          <w:tcPr>
            <w:tcW w:w="280" w:type="dxa"/>
            <w:vAlign w:val="bottom"/>
          </w:tcPr>
          <w:p>
            <w:pPr>
              <w:spacing w:after="0"/>
              <w:rPr>
                <w:sz w:val="22"/>
                <w:szCs w:val="22"/>
                <w:color w:val="auto"/>
              </w:rPr>
            </w:pPr>
          </w:p>
        </w:tc>
        <w:tc>
          <w:tcPr>
            <w:tcW w:w="14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4.1</w:t>
            </w: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159 %</w:t>
            </w:r>
          </w:p>
        </w:tc>
        <w:tc>
          <w:tcPr>
            <w:tcW w:w="0" w:type="dxa"/>
            <w:vAlign w:val="bottom"/>
          </w:tcPr>
          <w:p>
            <w:pPr>
              <w:spacing w:after="0"/>
              <w:rPr>
                <w:sz w:val="1"/>
                <w:szCs w:val="1"/>
                <w:color w:val="auto"/>
              </w:rPr>
            </w:pPr>
          </w:p>
        </w:tc>
      </w:tr>
      <w:tr>
        <w:trPr>
          <w:trHeight w:val="35"/>
        </w:trPr>
        <w:tc>
          <w:tcPr>
            <w:tcW w:w="160" w:type="dxa"/>
            <w:vAlign w:val="bottom"/>
          </w:tcPr>
          <w:p>
            <w:pPr>
              <w:spacing w:after="0"/>
              <w:rPr>
                <w:sz w:val="3"/>
                <w:szCs w:val="3"/>
                <w:color w:val="auto"/>
              </w:rPr>
            </w:pPr>
          </w:p>
        </w:tc>
        <w:tc>
          <w:tcPr>
            <w:tcW w:w="56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9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160" w:type="dxa"/>
            <w:vAlign w:val="bottom"/>
          </w:tcPr>
          <w:p>
            <w:pPr>
              <w:spacing w:after="0"/>
              <w:rPr>
                <w:sz w:val="24"/>
                <w:szCs w:val="24"/>
                <w:color w:val="auto"/>
              </w:rPr>
            </w:pPr>
          </w:p>
        </w:tc>
        <w:tc>
          <w:tcPr>
            <w:tcW w:w="5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Total</w:t>
            </w: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rPr>
              <w:t>9.2</w:t>
            </w:r>
          </w:p>
        </w:tc>
        <w:tc>
          <w:tcPr>
            <w:tcW w:w="38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(15.4)</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20"/>
                <w:szCs w:val="20"/>
                <w:color w:val="auto"/>
              </w:rPr>
              <w:t>Adjusted EBITDA:</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60" w:type="dxa"/>
            <w:vAlign w:val="bottom"/>
          </w:tcPr>
          <w:p>
            <w:pPr>
              <w:spacing w:after="0"/>
              <w:rPr>
                <w:sz w:val="18"/>
                <w:szCs w:val="18"/>
                <w:color w:val="auto"/>
              </w:rPr>
            </w:pPr>
          </w:p>
        </w:tc>
        <w:tc>
          <w:tcPr>
            <w:tcW w:w="56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160" w:type="dxa"/>
            <w:vAlign w:val="bottom"/>
          </w:tcPr>
          <w:p>
            <w:pPr>
              <w:spacing w:after="0"/>
              <w:rPr>
                <w:sz w:val="3"/>
                <w:szCs w:val="3"/>
                <w:color w:val="auto"/>
              </w:rPr>
            </w:pPr>
          </w:p>
        </w:tc>
        <w:tc>
          <w:tcPr>
            <w:tcW w:w="5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7"/>
        </w:trPr>
        <w:tc>
          <w:tcPr>
            <w:tcW w:w="160" w:type="dxa"/>
            <w:vAlign w:val="bottom"/>
          </w:tcPr>
          <w:p>
            <w:pPr>
              <w:spacing w:after="0"/>
              <w:rPr>
                <w:sz w:val="24"/>
                <w:szCs w:val="24"/>
                <w:color w:val="auto"/>
              </w:rPr>
            </w:pPr>
          </w:p>
        </w:tc>
        <w:tc>
          <w:tcPr>
            <w:tcW w:w="56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Ads and Leads</w:t>
            </w:r>
          </w:p>
        </w:tc>
        <w:tc>
          <w:tcPr>
            <w:tcW w:w="2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rPr>
              <w:t>49.0</w:t>
            </w:r>
          </w:p>
        </w:tc>
        <w:tc>
          <w:tcPr>
            <w:tcW w:w="3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28.2</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74 %</w:t>
            </w:r>
          </w:p>
        </w:tc>
        <w:tc>
          <w:tcPr>
            <w:tcW w:w="0" w:type="dxa"/>
            <w:vAlign w:val="bottom"/>
          </w:tcPr>
          <w:p>
            <w:pPr>
              <w:spacing w:after="0"/>
              <w:rPr>
                <w:sz w:val="1"/>
                <w:szCs w:val="1"/>
                <w:color w:val="auto"/>
              </w:rPr>
            </w:pPr>
          </w:p>
        </w:tc>
      </w:tr>
      <w:tr>
        <w:trPr>
          <w:trHeight w:val="263"/>
        </w:trPr>
        <w:tc>
          <w:tcPr>
            <w:tcW w:w="160" w:type="dxa"/>
            <w:vAlign w:val="bottom"/>
          </w:tcPr>
          <w:p>
            <w:pPr>
              <w:spacing w:after="0"/>
              <w:rPr>
                <w:sz w:val="22"/>
                <w:szCs w:val="22"/>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Services</w:t>
            </w:r>
          </w:p>
        </w:tc>
        <w:tc>
          <w:tcPr>
            <w:tcW w:w="280" w:type="dxa"/>
            <w:vAlign w:val="bottom"/>
          </w:tcPr>
          <w:p>
            <w:pPr>
              <w:spacing w:after="0"/>
              <w:rPr>
                <w:sz w:val="22"/>
                <w:szCs w:val="22"/>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2.0</w:t>
            </w: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16 %</w:t>
            </w:r>
          </w:p>
        </w:tc>
        <w:tc>
          <w:tcPr>
            <w:tcW w:w="0" w:type="dxa"/>
            <w:vAlign w:val="bottom"/>
          </w:tcPr>
          <w:p>
            <w:pPr>
              <w:spacing w:after="0"/>
              <w:rPr>
                <w:sz w:val="1"/>
                <w:szCs w:val="1"/>
                <w:color w:val="auto"/>
              </w:rPr>
            </w:pPr>
          </w:p>
        </w:tc>
      </w:tr>
      <w:tr>
        <w:trPr>
          <w:trHeight w:val="35"/>
        </w:trPr>
        <w:tc>
          <w:tcPr>
            <w:tcW w:w="160" w:type="dxa"/>
            <w:vAlign w:val="bottom"/>
          </w:tcPr>
          <w:p>
            <w:pPr>
              <w:spacing w:after="0"/>
              <w:rPr>
                <w:sz w:val="3"/>
                <w:szCs w:val="3"/>
                <w:color w:val="auto"/>
              </w:rPr>
            </w:pPr>
          </w:p>
        </w:tc>
        <w:tc>
          <w:tcPr>
            <w:tcW w:w="5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7"/>
        </w:trPr>
        <w:tc>
          <w:tcPr>
            <w:tcW w:w="160" w:type="dxa"/>
            <w:vAlign w:val="bottom"/>
          </w:tcPr>
          <w:p>
            <w:pPr>
              <w:spacing w:after="0"/>
              <w:rPr>
                <w:sz w:val="24"/>
                <w:szCs w:val="24"/>
                <w:color w:val="auto"/>
              </w:rPr>
            </w:pPr>
          </w:p>
        </w:tc>
        <w:tc>
          <w:tcPr>
            <w:tcW w:w="56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Corporate</w:t>
            </w:r>
          </w:p>
        </w:tc>
        <w:tc>
          <w:tcPr>
            <w:tcW w:w="28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(13.9)</w:t>
            </w:r>
          </w:p>
        </w:tc>
        <w:tc>
          <w:tcPr>
            <w:tcW w:w="3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(13.1)</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-6 %</w:t>
            </w:r>
          </w:p>
        </w:tc>
        <w:tc>
          <w:tcPr>
            <w:tcW w:w="0" w:type="dxa"/>
            <w:vAlign w:val="bottom"/>
          </w:tcPr>
          <w:p>
            <w:pPr>
              <w:spacing w:after="0"/>
              <w:rPr>
                <w:sz w:val="1"/>
                <w:szCs w:val="1"/>
                <w:color w:val="auto"/>
              </w:rPr>
            </w:pPr>
          </w:p>
        </w:tc>
      </w:tr>
      <w:tr>
        <w:trPr>
          <w:trHeight w:val="256"/>
        </w:trPr>
        <w:tc>
          <w:tcPr>
            <w:tcW w:w="160" w:type="dxa"/>
            <w:vAlign w:val="bottom"/>
          </w:tcPr>
          <w:p>
            <w:pPr>
              <w:spacing w:after="0"/>
              <w:rPr>
                <w:sz w:val="22"/>
                <w:szCs w:val="22"/>
                <w:color w:val="auto"/>
              </w:rPr>
            </w:pPr>
          </w:p>
        </w:tc>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Domestic</w:t>
            </w:r>
          </w:p>
        </w:tc>
        <w:tc>
          <w:tcPr>
            <w:tcW w:w="28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37.0</w:t>
            </w:r>
          </w:p>
        </w:tc>
        <w:tc>
          <w:tcPr>
            <w:tcW w:w="3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16.7</w:t>
            </w: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121 %</w:t>
            </w:r>
          </w:p>
        </w:tc>
        <w:tc>
          <w:tcPr>
            <w:tcW w:w="0" w:type="dxa"/>
            <w:vAlign w:val="bottom"/>
          </w:tcPr>
          <w:p>
            <w:pPr>
              <w:spacing w:after="0"/>
              <w:rPr>
                <w:sz w:val="1"/>
                <w:szCs w:val="1"/>
                <w:color w:val="auto"/>
              </w:rPr>
            </w:pPr>
          </w:p>
        </w:tc>
      </w:tr>
      <w:tr>
        <w:trPr>
          <w:trHeight w:val="35"/>
        </w:trPr>
        <w:tc>
          <w:tcPr>
            <w:tcW w:w="160" w:type="dxa"/>
            <w:vAlign w:val="bottom"/>
          </w:tcPr>
          <w:p>
            <w:pPr>
              <w:spacing w:after="0"/>
              <w:rPr>
                <w:sz w:val="3"/>
                <w:szCs w:val="3"/>
                <w:color w:val="auto"/>
              </w:rPr>
            </w:pPr>
          </w:p>
        </w:tc>
        <w:tc>
          <w:tcPr>
            <w:tcW w:w="5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7"/>
        </w:trPr>
        <w:tc>
          <w:tcPr>
            <w:tcW w:w="160" w:type="dxa"/>
            <w:vAlign w:val="bottom"/>
          </w:tcPr>
          <w:p>
            <w:pPr>
              <w:spacing w:after="0"/>
              <w:rPr>
                <w:sz w:val="24"/>
                <w:szCs w:val="24"/>
                <w:color w:val="auto"/>
              </w:rPr>
            </w:pPr>
          </w:p>
        </w:tc>
        <w:tc>
          <w:tcPr>
            <w:tcW w:w="56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International</w:t>
            </w:r>
          </w:p>
        </w:tc>
        <w:tc>
          <w:tcPr>
            <w:tcW w:w="28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rPr>
              <w:t>5.1</w:t>
            </w:r>
          </w:p>
        </w:tc>
        <w:tc>
          <w:tcPr>
            <w:tcW w:w="3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81 %</w:t>
            </w:r>
          </w:p>
        </w:tc>
        <w:tc>
          <w:tcPr>
            <w:tcW w:w="0" w:type="dxa"/>
            <w:vAlign w:val="bottom"/>
          </w:tcPr>
          <w:p>
            <w:pPr>
              <w:spacing w:after="0"/>
              <w:rPr>
                <w:sz w:val="1"/>
                <w:szCs w:val="1"/>
                <w:color w:val="auto"/>
              </w:rPr>
            </w:pPr>
          </w:p>
        </w:tc>
      </w:tr>
      <w:tr>
        <w:trPr>
          <w:trHeight w:val="287"/>
        </w:trPr>
        <w:tc>
          <w:tcPr>
            <w:tcW w:w="160" w:type="dxa"/>
            <w:vAlign w:val="bottom"/>
          </w:tcPr>
          <w:p>
            <w:pPr>
              <w:spacing w:after="0"/>
              <w:rPr>
                <w:sz w:val="24"/>
                <w:szCs w:val="24"/>
                <w:color w:val="auto"/>
              </w:rPr>
            </w:pPr>
          </w:p>
        </w:tc>
        <w:tc>
          <w:tcPr>
            <w:tcW w:w="5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w:t>
            </w:r>
          </w:p>
        </w:tc>
        <w:tc>
          <w:tcPr>
            <w:tcW w:w="28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42.2</w:t>
            </w:r>
          </w:p>
        </w:tc>
        <w:tc>
          <w:tcPr>
            <w:tcW w:w="38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19.6</w:t>
            </w: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115 %</w:t>
            </w:r>
          </w:p>
        </w:tc>
        <w:tc>
          <w:tcPr>
            <w:tcW w:w="0" w:type="dxa"/>
            <w:vAlign w:val="bottom"/>
          </w:tcPr>
          <w:p>
            <w:pPr>
              <w:spacing w:after="0"/>
              <w:rPr>
                <w:sz w:val="1"/>
                <w:szCs w:val="1"/>
                <w:color w:val="auto"/>
              </w:rPr>
            </w:pPr>
          </w:p>
        </w:tc>
      </w:tr>
      <w:tr>
        <w:trPr>
          <w:trHeight w:val="24"/>
        </w:trPr>
        <w:tc>
          <w:tcPr>
            <w:tcW w:w="16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income increased $24.6 million to $9.2 million and Adjusted EBITDA improved 115% to $42.2 million driven by:</w:t>
      </w:r>
    </w:p>
    <w:p>
      <w:pPr>
        <w:spacing w:after="0" w:line="63"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Ads and Leads </w:t>
      </w:r>
      <w:r>
        <w:rPr>
          <w:rFonts w:ascii="Times New Roman" w:cs="Times New Roman" w:eastAsia="Times New Roman" w:hAnsi="Times New Roman"/>
          <w:sz w:val="20"/>
          <w:szCs w:val="20"/>
          <w:color w:val="auto"/>
        </w:rPr>
        <w:t>operating income increased 418% to $24.8 million reflecting:</w:t>
      </w:r>
    </w:p>
    <w:p>
      <w:pPr>
        <w:spacing w:after="0" w:line="71" w:lineRule="exact"/>
        <w:rPr>
          <w:rFonts w:ascii="Times New Roman" w:cs="Times New Roman" w:eastAsia="Times New Roman" w:hAnsi="Times New Roman"/>
          <w:sz w:val="20"/>
          <w:szCs w:val="20"/>
          <w:i w:val="1"/>
          <w:iCs w:val="1"/>
          <w:color w:val="auto"/>
        </w:rPr>
      </w:pPr>
    </w:p>
    <w:p>
      <w:pPr>
        <w:ind w:left="1620" w:hanging="316"/>
        <w:spacing w:after="0"/>
        <w:tabs>
          <w:tab w:leader="none" w:pos="1620" w:val="left"/>
        </w:tabs>
        <w:numPr>
          <w:ilvl w:val="2"/>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increasing 74% to $49.0 million reflecting:</w:t>
      </w:r>
    </w:p>
    <w:p>
      <w:pPr>
        <w:spacing w:after="0" w:line="67" w:lineRule="exact"/>
        <w:rPr>
          <w:rFonts w:ascii="Times New Roman" w:cs="Times New Roman" w:eastAsia="Times New Roman" w:hAnsi="Times New Roman"/>
          <w:sz w:val="20"/>
          <w:szCs w:val="20"/>
          <w:color w:val="auto"/>
        </w:rPr>
      </w:pPr>
    </w:p>
    <w:p>
      <w:pPr>
        <w:ind w:left="2280" w:hanging="328"/>
        <w:spacing w:after="0" w:line="309" w:lineRule="auto"/>
        <w:tabs>
          <w:tab w:leader="none" w:pos="2268" w:val="left"/>
        </w:tabs>
        <w:numPr>
          <w:ilvl w:val="3"/>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Lower selling and marketing expense due to lower consumer marketing spend driven by improved efficiency and lower sales-related expenses</w:t>
      </w:r>
    </w:p>
    <w:p>
      <w:pPr>
        <w:spacing w:after="0" w:line="1" w:lineRule="exact"/>
        <w:rPr>
          <w:rFonts w:ascii="Times New Roman" w:cs="Times New Roman" w:eastAsia="Times New Roman" w:hAnsi="Times New Roman"/>
          <w:sz w:val="20"/>
          <w:szCs w:val="20"/>
          <w:color w:val="auto"/>
        </w:rPr>
      </w:pPr>
    </w:p>
    <w:p>
      <w:pPr>
        <w:ind w:left="2260" w:hanging="308"/>
        <w:spacing w:after="0"/>
        <w:tabs>
          <w:tab w:leader="none" w:pos="2260" w:val="left"/>
        </w:tabs>
        <w:numPr>
          <w:ilvl w:val="3"/>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 lower revenue</w:t>
      </w:r>
    </w:p>
    <w:p>
      <w:pPr>
        <w:spacing w:after="0" w:line="67" w:lineRule="exact"/>
        <w:rPr>
          <w:rFonts w:ascii="Times New Roman" w:cs="Times New Roman" w:eastAsia="Times New Roman" w:hAnsi="Times New Roman"/>
          <w:sz w:val="20"/>
          <w:szCs w:val="20"/>
          <w:color w:val="auto"/>
        </w:rPr>
      </w:pPr>
    </w:p>
    <w:p>
      <w:pPr>
        <w:ind w:left="1620" w:hanging="316"/>
        <w:spacing w:after="0"/>
        <w:tabs>
          <w:tab w:leader="none" w:pos="1620" w:val="left"/>
        </w:tabs>
        <w:numPr>
          <w:ilvl w:val="2"/>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$2.7 million lower amortization of intangibles</w:t>
      </w:r>
    </w:p>
    <w:p>
      <w:pPr>
        <w:spacing w:after="0" w:line="67" w:lineRule="exact"/>
        <w:rPr>
          <w:rFonts w:ascii="Times New Roman" w:cs="Times New Roman" w:eastAsia="Times New Roman" w:hAnsi="Times New Roman"/>
          <w:sz w:val="20"/>
          <w:szCs w:val="20"/>
          <w:color w:val="auto"/>
        </w:rPr>
      </w:pPr>
    </w:p>
    <w:p>
      <w:pPr>
        <w:ind w:left="1620" w:hanging="316"/>
        <w:spacing w:after="0"/>
        <w:tabs>
          <w:tab w:leader="none" w:pos="1620" w:val="left"/>
        </w:tabs>
        <w:numPr>
          <w:ilvl w:val="2"/>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$2.8 million higher depreciation</w:t>
      </w:r>
    </w:p>
    <w:p>
      <w:pPr>
        <w:spacing w:after="0" w:line="306"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Services </w:t>
      </w:r>
      <w:r>
        <w:rPr>
          <w:rFonts w:ascii="Times New Roman" w:cs="Times New Roman" w:eastAsia="Times New Roman" w:hAnsi="Times New Roman"/>
          <w:sz w:val="20"/>
          <w:szCs w:val="20"/>
          <w:color w:val="auto"/>
        </w:rPr>
        <w:t>operating loss decreased 13% to $4.5 million due to:</w:t>
      </w:r>
    </w:p>
    <w:p>
      <w:pPr>
        <w:spacing w:after="0" w:line="71" w:lineRule="exact"/>
        <w:rPr>
          <w:rFonts w:ascii="Times New Roman" w:cs="Times New Roman" w:eastAsia="Times New Roman" w:hAnsi="Times New Roman"/>
          <w:sz w:val="20"/>
          <w:szCs w:val="20"/>
          <w:color w:val="auto"/>
        </w:rPr>
      </w:pPr>
    </w:p>
    <w:p>
      <w:pPr>
        <w:ind w:left="1620" w:hanging="316"/>
        <w:spacing w:after="0" w:line="309" w:lineRule="auto"/>
        <w:tabs>
          <w:tab w:leader="none" w:pos="1636" w:val="left"/>
        </w:tabs>
        <w:numPr>
          <w:ilvl w:val="2"/>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increasing 16% to $2.0 million due primarily to improved unit economics and lower operating expenses, partially offset by lower revenue</w:t>
      </w:r>
    </w:p>
    <w:p>
      <w:pPr>
        <w:spacing w:after="0" w:line="1" w:lineRule="exact"/>
        <w:rPr>
          <w:rFonts w:ascii="Times New Roman" w:cs="Times New Roman" w:eastAsia="Times New Roman" w:hAnsi="Times New Roman"/>
          <w:sz w:val="20"/>
          <w:szCs w:val="20"/>
          <w:color w:val="auto"/>
        </w:rPr>
      </w:pPr>
    </w:p>
    <w:p>
      <w:pPr>
        <w:ind w:left="1620" w:hanging="316"/>
        <w:spacing w:after="0"/>
        <w:tabs>
          <w:tab w:leader="none" w:pos="1620" w:val="left"/>
        </w:tabs>
        <w:numPr>
          <w:ilvl w:val="2"/>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$0.3 million lower depreciation</w:t>
      </w:r>
    </w:p>
    <w:p>
      <w:pPr>
        <w:spacing w:after="0" w:line="306" w:lineRule="exact"/>
        <w:rPr>
          <w:rFonts w:ascii="Times New Roman" w:cs="Times New Roman" w:eastAsia="Times New Roman" w:hAnsi="Times New Roman"/>
          <w:sz w:val="20"/>
          <w:szCs w:val="20"/>
          <w:color w:val="auto"/>
        </w:rPr>
      </w:pPr>
    </w:p>
    <w:p>
      <w:pPr>
        <w:ind w:left="980" w:right="20" w:hanging="324"/>
        <w:spacing w:after="0" w:line="343" w:lineRule="auto"/>
        <w:tabs>
          <w:tab w:leader="none" w:pos="996" w:val="left"/>
        </w:tabs>
        <w:numPr>
          <w:ilvl w:val="1"/>
          <w:numId w:val="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International </w:t>
      </w:r>
      <w:r>
        <w:rPr>
          <w:rFonts w:ascii="Times New Roman" w:cs="Times New Roman" w:eastAsia="Times New Roman" w:hAnsi="Times New Roman"/>
          <w:sz w:val="20"/>
          <w:szCs w:val="20"/>
          <w:color w:val="auto"/>
        </w:rPr>
        <w:t>operating income increased 159% to $4.1 million and Adjusted EBITDA increased 81% to $5.1 million due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primarily to a 14% increase in revenue and continued operating expense leverage</w:t>
      </w:r>
    </w:p>
    <w:p>
      <w:pPr>
        <w:sectPr>
          <w:pgSz w:w="11900" w:h="16838" w:orient="portrait"/>
          <w:cols w:equalWidth="0" w:num="1">
            <w:col w:w="11240"/>
          </w:cols>
          <w:pgMar w:left="320" w:top="121"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color w:val="auto"/>
        </w:rPr>
        <w:t>Page 4 of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301"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20"/>
          <w:szCs w:val="20"/>
          <w:color w:val="auto"/>
        </w:rPr>
        <w:t>The Company recorded an income tax provision of $4.6 million in Q2 2024 for an effective tax rate of 53%, which is higher than the statutory rate due primarily to the impact of stock-based awards and unbenefited losses, partially offset by research credits. The Company recorded an income tax provision of $0.4 million in Q2 2023 despite a pre-tax loss, due primarily to non-deductible stock-based compensation expense and foreign income taxed at different rates, partially offset by research credits.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8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Metrics</w:t>
            </w:r>
          </w:p>
        </w:tc>
        <w:tc>
          <w:tcPr>
            <w:tcW w:w="18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318"/>
        </w:trPr>
        <w:tc>
          <w:tcPr>
            <w:tcW w:w="16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r>
        <w:trPr>
          <w:trHeight w:val="256"/>
        </w:trPr>
        <w:tc>
          <w:tcPr>
            <w:tcW w:w="160" w:type="dxa"/>
            <w:vAlign w:val="bottom"/>
          </w:tcPr>
          <w:p>
            <w:pPr>
              <w:spacing w:after="0"/>
              <w:rPr>
                <w:sz w:val="22"/>
                <w:szCs w:val="22"/>
                <w:color w:val="auto"/>
              </w:rPr>
            </w:pPr>
          </w:p>
        </w:tc>
        <w:tc>
          <w:tcPr>
            <w:tcW w:w="5640" w:type="dxa"/>
            <w:vAlign w:val="bottom"/>
          </w:tcPr>
          <w:p>
            <w:pPr>
              <w:spacing w:after="0"/>
              <w:rPr>
                <w:sz w:val="22"/>
                <w:szCs w:val="22"/>
                <w:color w:val="auto"/>
              </w:rPr>
            </w:pPr>
          </w:p>
        </w:tc>
        <w:tc>
          <w:tcPr>
            <w:tcW w:w="1860" w:type="dxa"/>
            <w:vAlign w:val="bottom"/>
          </w:tcPr>
          <w:p>
            <w:pPr>
              <w:jc w:val="right"/>
              <w:ind w:right="621"/>
              <w:spacing w:after="0"/>
              <w:rPr>
                <w:sz w:val="20"/>
                <w:szCs w:val="20"/>
                <w:color w:val="auto"/>
              </w:rPr>
            </w:pPr>
            <w:r>
              <w:rPr>
                <w:rFonts w:ascii="Times New Roman" w:cs="Times New Roman" w:eastAsia="Times New Roman" w:hAnsi="Times New Roman"/>
                <w:sz w:val="20"/>
                <w:szCs w:val="20"/>
                <w:b w:val="1"/>
                <w:bCs w:val="1"/>
                <w:color w:val="auto"/>
              </w:rPr>
              <w:t>Q2 2024</w:t>
            </w:r>
          </w:p>
        </w:tc>
        <w:tc>
          <w:tcPr>
            <w:tcW w:w="1820" w:type="dxa"/>
            <w:vAlign w:val="bottom"/>
          </w:tcPr>
          <w:p>
            <w:pPr>
              <w:jc w:val="right"/>
              <w:ind w:right="661"/>
              <w:spacing w:after="0"/>
              <w:rPr>
                <w:sz w:val="20"/>
                <w:szCs w:val="20"/>
                <w:color w:val="auto"/>
              </w:rPr>
            </w:pPr>
            <w:r>
              <w:rPr>
                <w:rFonts w:ascii="Times New Roman" w:cs="Times New Roman" w:eastAsia="Times New Roman" w:hAnsi="Times New Roman"/>
                <w:sz w:val="20"/>
                <w:szCs w:val="20"/>
                <w:b w:val="1"/>
                <w:bCs w:val="1"/>
                <w:color w:val="auto"/>
              </w:rPr>
              <w:t>Q2 2023</w:t>
            </w:r>
          </w:p>
        </w:tc>
        <w:tc>
          <w:tcPr>
            <w:tcW w:w="1620" w:type="dxa"/>
            <w:vAlign w:val="bottom"/>
          </w:tcPr>
          <w:p>
            <w:pPr>
              <w:jc w:val="right"/>
              <w:ind w:right="461"/>
              <w:spacing w:after="0"/>
              <w:rPr>
                <w:sz w:val="20"/>
                <w:szCs w:val="20"/>
                <w:color w:val="auto"/>
              </w:rPr>
            </w:pPr>
            <w:r>
              <w:rPr>
                <w:rFonts w:ascii="Times New Roman" w:cs="Times New Roman" w:eastAsia="Times New Roman" w:hAnsi="Times New Roman"/>
                <w:sz w:val="20"/>
                <w:szCs w:val="20"/>
                <w:b w:val="1"/>
                <w:bCs w:val="1"/>
                <w:color w:val="auto"/>
              </w:rPr>
              <w:t>Growth</w:t>
            </w:r>
          </w:p>
        </w:tc>
      </w:tr>
      <w:tr>
        <w:trPr>
          <w:trHeight w:val="34"/>
        </w:trPr>
        <w:tc>
          <w:tcPr>
            <w:tcW w:w="160" w:type="dxa"/>
            <w:vAlign w:val="bottom"/>
          </w:tcPr>
          <w:p>
            <w:pPr>
              <w:spacing w:after="0"/>
              <w:rPr>
                <w:sz w:val="3"/>
                <w:szCs w:val="3"/>
                <w:color w:val="auto"/>
              </w:rPr>
            </w:pPr>
          </w:p>
        </w:tc>
        <w:tc>
          <w:tcPr>
            <w:tcW w:w="5640" w:type="dxa"/>
            <w:vAlign w:val="bottom"/>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50"/>
        </w:trPr>
        <w:tc>
          <w:tcPr>
            <w:tcW w:w="16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7"/>
        </w:trPr>
        <w:tc>
          <w:tcPr>
            <w:tcW w:w="160" w:type="dxa"/>
            <w:vAlign w:val="bottom"/>
          </w:tcPr>
          <w:p>
            <w:pPr>
              <w:spacing w:after="0"/>
              <w:rPr>
                <w:sz w:val="24"/>
                <w:szCs w:val="24"/>
                <w:color w:val="auto"/>
              </w:rPr>
            </w:pPr>
          </w:p>
        </w:tc>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Service Requests (in thousands)</w:t>
            </w:r>
          </w:p>
        </w:tc>
        <w:tc>
          <w:tcPr>
            <w:tcW w:w="1860" w:type="dxa"/>
            <w:vAlign w:val="bottom"/>
            <w:tcBorders>
              <w:bottom w:val="single" w:sz="8" w:color="CCEEFF"/>
            </w:tcBorders>
            <w:shd w:val="clear" w:color="auto" w:fill="CCEEFF"/>
          </w:tcPr>
          <w:p>
            <w:pPr>
              <w:jc w:val="right"/>
              <w:ind w:right="241"/>
              <w:spacing w:after="0"/>
              <w:rPr>
                <w:sz w:val="20"/>
                <w:szCs w:val="20"/>
                <w:color w:val="auto"/>
              </w:rPr>
            </w:pPr>
            <w:r>
              <w:rPr>
                <w:rFonts w:ascii="Times New Roman" w:cs="Times New Roman" w:eastAsia="Times New Roman" w:hAnsi="Times New Roman"/>
                <w:sz w:val="20"/>
                <w:szCs w:val="20"/>
                <w:color w:val="auto"/>
              </w:rPr>
              <w:t>4,939</w:t>
            </w:r>
          </w:p>
        </w:tc>
        <w:tc>
          <w:tcPr>
            <w:tcW w:w="1820" w:type="dxa"/>
            <w:vAlign w:val="bottom"/>
            <w:tcBorders>
              <w:bottom w:val="single" w:sz="8" w:color="CCEEFF"/>
            </w:tcBorders>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color w:val="auto"/>
              </w:rPr>
              <w:t>6,862</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-28 %</w:t>
            </w:r>
          </w:p>
        </w:tc>
      </w:tr>
      <w:tr>
        <w:trPr>
          <w:trHeight w:val="263"/>
        </w:trPr>
        <w:tc>
          <w:tcPr>
            <w:tcW w:w="160" w:type="dxa"/>
            <w:vAlign w:val="bottom"/>
          </w:tcPr>
          <w:p>
            <w:pPr>
              <w:spacing w:after="0"/>
              <w:rPr>
                <w:sz w:val="22"/>
                <w:szCs w:val="22"/>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Monetized Transactions (in thousands)</w:t>
            </w:r>
          </w:p>
        </w:tc>
        <w:tc>
          <w:tcPr>
            <w:tcW w:w="18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6,749</w:t>
            </w:r>
          </w:p>
        </w:tc>
        <w:tc>
          <w:tcPr>
            <w:tcW w:w="182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7,805</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-14 %</w:t>
            </w:r>
          </w:p>
        </w:tc>
      </w:tr>
      <w:tr>
        <w:trPr>
          <w:trHeight w:val="35"/>
        </w:trPr>
        <w:tc>
          <w:tcPr>
            <w:tcW w:w="160" w:type="dxa"/>
            <w:vAlign w:val="bottom"/>
          </w:tcPr>
          <w:p>
            <w:pPr>
              <w:spacing w:after="0"/>
              <w:rPr>
                <w:sz w:val="3"/>
                <w:szCs w:val="3"/>
                <w:color w:val="auto"/>
              </w:rPr>
            </w:pPr>
          </w:p>
        </w:tc>
        <w:tc>
          <w:tcPr>
            <w:tcW w:w="56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620" w:type="dxa"/>
            <w:vAlign w:val="bottom"/>
          </w:tcPr>
          <w:p>
            <w:pPr>
              <w:spacing w:after="0"/>
              <w:rPr>
                <w:sz w:val="3"/>
                <w:szCs w:val="3"/>
                <w:color w:val="auto"/>
              </w:rPr>
            </w:pPr>
          </w:p>
        </w:tc>
      </w:tr>
      <w:tr>
        <w:trPr>
          <w:trHeight w:val="297"/>
        </w:trPr>
        <w:tc>
          <w:tcPr>
            <w:tcW w:w="160" w:type="dxa"/>
            <w:vAlign w:val="bottom"/>
          </w:tcPr>
          <w:p>
            <w:pPr>
              <w:spacing w:after="0"/>
              <w:rPr>
                <w:sz w:val="24"/>
                <w:szCs w:val="24"/>
                <w:color w:val="auto"/>
              </w:rPr>
            </w:pPr>
          </w:p>
        </w:tc>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Monetized Transactions per Service Request</w:t>
            </w:r>
          </w:p>
        </w:tc>
        <w:tc>
          <w:tcPr>
            <w:tcW w:w="186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20"/>
                <w:szCs w:val="20"/>
                <w:color w:val="auto"/>
              </w:rPr>
              <w:t>1.37</w:t>
            </w:r>
          </w:p>
        </w:tc>
        <w:tc>
          <w:tcPr>
            <w:tcW w:w="182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color w:val="auto"/>
              </w:rPr>
              <w:t>1.14</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20 %</w:t>
            </w:r>
          </w:p>
        </w:tc>
      </w:tr>
      <w:tr>
        <w:trPr>
          <w:trHeight w:val="263"/>
        </w:trPr>
        <w:tc>
          <w:tcPr>
            <w:tcW w:w="160" w:type="dxa"/>
            <w:vAlign w:val="bottom"/>
          </w:tcPr>
          <w:p>
            <w:pPr>
              <w:spacing w:after="0"/>
              <w:rPr>
                <w:sz w:val="22"/>
                <w:szCs w:val="22"/>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Transacting Service Professionals (in thousands)</w:t>
            </w:r>
          </w:p>
        </w:tc>
        <w:tc>
          <w:tcPr>
            <w:tcW w:w="18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187</w:t>
            </w:r>
          </w:p>
        </w:tc>
        <w:tc>
          <w:tcPr>
            <w:tcW w:w="182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207</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Free Cash Flow</w:t>
      </w:r>
    </w:p>
    <w:p>
      <w:pPr>
        <w:spacing w:after="0" w:line="341" w:lineRule="exact"/>
        <w:rPr>
          <w:sz w:val="20"/>
          <w:szCs w:val="20"/>
          <w:color w:val="auto"/>
        </w:rPr>
      </w:pPr>
    </w:p>
    <w:p>
      <w:pPr>
        <w:jc w:val="both"/>
        <w:ind w:right="20"/>
        <w:spacing w:after="0" w:line="338" w:lineRule="auto"/>
        <w:rPr>
          <w:sz w:val="20"/>
          <w:szCs w:val="20"/>
          <w:color w:val="auto"/>
        </w:rPr>
      </w:pPr>
      <w:r>
        <w:rPr>
          <w:rFonts w:ascii="Times New Roman" w:cs="Times New Roman" w:eastAsia="Times New Roman" w:hAnsi="Times New Roman"/>
          <w:sz w:val="20"/>
          <w:szCs w:val="20"/>
          <w:color w:val="auto"/>
        </w:rPr>
        <w:t>For the six months ended June 30, 2024, net cash provided by operating activities attributable to continuing operations was $85.0 million, an $8.0 million increase year-over-year. Free Cash Flow increased $4.8 million to $59.5 million due primarily to higher Adjusted EBITDA, partially offset by unfavorable working capital and $3.1 million higher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280670</wp:posOffset>
            </wp:positionV>
            <wp:extent cx="24771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20"/>
          <w:szCs w:val="20"/>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42545</wp:posOffset>
            </wp:positionV>
            <wp:extent cx="24771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61" w:lineRule="exact"/>
        <w:rPr>
          <w:sz w:val="20"/>
          <w:szCs w:val="20"/>
          <w:color w:val="auto"/>
        </w:rPr>
      </w:pPr>
    </w:p>
    <w:tbl>
      <w:tblPr>
        <w:tblLayout w:type="fixed"/>
        <w:tblInd w:w="160" w:type="dxa"/>
        <w:tblCellMar>
          <w:top w:w="0" w:type="dxa"/>
          <w:left w:w="0" w:type="dxa"/>
          <w:bottom w:w="0" w:type="dxa"/>
          <w:right w:w="0" w:type="dxa"/>
        </w:tblCellMar>
      </w:tblPr>
      <w:tr>
        <w:trPr>
          <w:trHeight w:val="29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 in millions; rounding differences may occur)</w:t>
            </w:r>
          </w:p>
        </w:tc>
        <w:tc>
          <w:tcPr>
            <w:tcW w:w="4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721"/>
              <w:spacing w:after="0"/>
              <w:rPr>
                <w:sz w:val="20"/>
                <w:szCs w:val="20"/>
                <w:color w:val="auto"/>
              </w:rPr>
            </w:pPr>
            <w:r>
              <w:rPr>
                <w:rFonts w:ascii="Times New Roman" w:cs="Times New Roman" w:eastAsia="Times New Roman" w:hAnsi="Times New Roman"/>
                <w:sz w:val="20"/>
                <w:szCs w:val="20"/>
                <w:b w:val="1"/>
                <w:bCs w:val="1"/>
                <w:color w:val="auto"/>
              </w:rPr>
              <w:t>2024</w:t>
            </w:r>
          </w:p>
        </w:tc>
        <w:tc>
          <w:tcPr>
            <w:tcW w:w="5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77"/>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cash provided by operating activities attributable to continuing operations</w:t>
            </w:r>
          </w:p>
        </w:tc>
        <w:tc>
          <w:tcPr>
            <w:tcW w:w="42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20"/>
                <w:szCs w:val="20"/>
                <w:color w:val="auto"/>
                <w:w w:val="99"/>
              </w:rPr>
              <w:t>$</w:t>
            </w:r>
          </w:p>
        </w:tc>
        <w:tc>
          <w:tcPr>
            <w:tcW w:w="1520" w:type="dxa"/>
            <w:vAlign w:val="bottom"/>
            <w:tcBorders>
              <w:bottom w:val="single" w:sz="8" w:color="CCEEFF"/>
            </w:tcBorders>
            <w:shd w:val="clear" w:color="auto" w:fill="CCEEFF"/>
          </w:tcPr>
          <w:p>
            <w:pPr>
              <w:jc w:val="center"/>
              <w:ind w:left="761"/>
              <w:spacing w:after="0"/>
              <w:rPr>
                <w:sz w:val="20"/>
                <w:szCs w:val="20"/>
                <w:color w:val="auto"/>
              </w:rPr>
            </w:pPr>
            <w:r>
              <w:rPr>
                <w:rFonts w:ascii="Times New Roman" w:cs="Times New Roman" w:eastAsia="Times New Roman" w:hAnsi="Times New Roman"/>
                <w:sz w:val="20"/>
                <w:szCs w:val="20"/>
                <w:color w:val="auto"/>
                <w:w w:val="97"/>
              </w:rPr>
              <w:t>85.0</w:t>
            </w:r>
          </w:p>
        </w:tc>
        <w:tc>
          <w:tcPr>
            <w:tcW w:w="520" w:type="dxa"/>
            <w:vAlign w:val="bottom"/>
            <w:tcBorders>
              <w:bottom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Borders>
              <w:bottom w:val="single" w:sz="8" w:color="CCEEFF"/>
            </w:tcBorders>
            <w:shd w:val="clear" w:color="auto" w:fill="CCEEFF"/>
          </w:tcPr>
          <w:p>
            <w:pPr>
              <w:jc w:val="center"/>
              <w:ind w:left="821"/>
              <w:spacing w:after="0"/>
              <w:rPr>
                <w:sz w:val="20"/>
                <w:szCs w:val="20"/>
                <w:color w:val="auto"/>
              </w:rPr>
            </w:pPr>
            <w:r>
              <w:rPr>
                <w:rFonts w:ascii="Times New Roman" w:cs="Times New Roman" w:eastAsia="Times New Roman" w:hAnsi="Times New Roman"/>
                <w:sz w:val="20"/>
                <w:szCs w:val="20"/>
                <w:color w:val="auto"/>
                <w:w w:val="97"/>
              </w:rPr>
              <w:t>77.0</w:t>
            </w:r>
          </w:p>
        </w:tc>
      </w:tr>
      <w:tr>
        <w:trPr>
          <w:trHeight w:val="263"/>
        </w:trPr>
        <w:tc>
          <w:tcPr>
            <w:tcW w:w="70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Capital expenditures</w:t>
            </w:r>
          </w:p>
        </w:tc>
        <w:tc>
          <w:tcPr>
            <w:tcW w:w="420" w:type="dxa"/>
            <w:vAlign w:val="bottom"/>
          </w:tcPr>
          <w:p>
            <w:pPr>
              <w:spacing w:after="0"/>
              <w:rPr>
                <w:sz w:val="22"/>
                <w:szCs w:val="22"/>
                <w:color w:val="auto"/>
              </w:rPr>
            </w:pPr>
          </w:p>
        </w:tc>
        <w:tc>
          <w:tcPr>
            <w:tcW w:w="1520" w:type="dxa"/>
            <w:vAlign w:val="bottom"/>
          </w:tcPr>
          <w:p>
            <w:pPr>
              <w:jc w:val="center"/>
              <w:ind w:left="701"/>
              <w:spacing w:after="0"/>
              <w:rPr>
                <w:sz w:val="20"/>
                <w:szCs w:val="20"/>
                <w:color w:val="auto"/>
              </w:rPr>
            </w:pPr>
            <w:r>
              <w:rPr>
                <w:rFonts w:ascii="Times New Roman" w:cs="Times New Roman" w:eastAsia="Times New Roman" w:hAnsi="Times New Roman"/>
                <w:sz w:val="20"/>
                <w:szCs w:val="20"/>
                <w:color w:val="auto"/>
                <w:w w:val="99"/>
              </w:rPr>
              <w:t>(25.4)</w:t>
            </w:r>
          </w:p>
        </w:tc>
        <w:tc>
          <w:tcPr>
            <w:tcW w:w="520" w:type="dxa"/>
            <w:vAlign w:val="bottom"/>
          </w:tcPr>
          <w:p>
            <w:pPr>
              <w:spacing w:after="0"/>
              <w:rPr>
                <w:sz w:val="22"/>
                <w:szCs w:val="22"/>
                <w:color w:val="auto"/>
              </w:rPr>
            </w:pPr>
          </w:p>
        </w:tc>
        <w:tc>
          <w:tcPr>
            <w:tcW w:w="1460" w:type="dxa"/>
            <w:vAlign w:val="bottom"/>
          </w:tcPr>
          <w:p>
            <w:pPr>
              <w:jc w:val="center"/>
              <w:ind w:left="801"/>
              <w:spacing w:after="0"/>
              <w:rPr>
                <w:sz w:val="20"/>
                <w:szCs w:val="20"/>
                <w:color w:val="auto"/>
              </w:rPr>
            </w:pPr>
            <w:r>
              <w:rPr>
                <w:rFonts w:ascii="Times New Roman" w:cs="Times New Roman" w:eastAsia="Times New Roman" w:hAnsi="Times New Roman"/>
                <w:sz w:val="20"/>
                <w:szCs w:val="20"/>
                <w:color w:val="auto"/>
                <w:w w:val="99"/>
              </w:rPr>
              <w:t>(22.3)</w:t>
            </w:r>
          </w:p>
        </w:tc>
      </w:tr>
      <w:tr>
        <w:trPr>
          <w:trHeight w:val="35"/>
        </w:trPr>
        <w:tc>
          <w:tcPr>
            <w:tcW w:w="702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312"/>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Free Cash Flow</w:t>
            </w:r>
          </w:p>
        </w:tc>
        <w:tc>
          <w:tcPr>
            <w:tcW w:w="42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20"/>
                <w:szCs w:val="20"/>
                <w:color w:val="auto"/>
                <w:w w:val="99"/>
              </w:rPr>
              <w:t>$</w:t>
            </w:r>
          </w:p>
        </w:tc>
        <w:tc>
          <w:tcPr>
            <w:tcW w:w="1520" w:type="dxa"/>
            <w:vAlign w:val="bottom"/>
            <w:tcBorders>
              <w:bottom w:val="single" w:sz="8" w:color="auto"/>
            </w:tcBorders>
            <w:shd w:val="clear" w:color="auto" w:fill="CCEEFF"/>
          </w:tcPr>
          <w:p>
            <w:pPr>
              <w:jc w:val="center"/>
              <w:ind w:left="761"/>
              <w:spacing w:after="0"/>
              <w:rPr>
                <w:sz w:val="20"/>
                <w:szCs w:val="20"/>
                <w:color w:val="auto"/>
              </w:rPr>
            </w:pPr>
            <w:r>
              <w:rPr>
                <w:rFonts w:ascii="Times New Roman" w:cs="Times New Roman" w:eastAsia="Times New Roman" w:hAnsi="Times New Roman"/>
                <w:sz w:val="20"/>
                <w:szCs w:val="20"/>
                <w:color w:val="auto"/>
                <w:w w:val="97"/>
              </w:rPr>
              <w:t>59.5</w:t>
            </w:r>
          </w:p>
        </w:tc>
        <w:tc>
          <w:tcPr>
            <w:tcW w:w="52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Borders>
              <w:bottom w:val="single" w:sz="8" w:color="auto"/>
            </w:tcBorders>
            <w:shd w:val="clear" w:color="auto" w:fill="CCEEFF"/>
          </w:tcPr>
          <w:p>
            <w:pPr>
              <w:jc w:val="center"/>
              <w:ind w:left="821"/>
              <w:spacing w:after="0"/>
              <w:rPr>
                <w:sz w:val="20"/>
                <w:szCs w:val="20"/>
                <w:color w:val="auto"/>
              </w:rPr>
            </w:pPr>
            <w:r>
              <w:rPr>
                <w:rFonts w:ascii="Times New Roman" w:cs="Times New Roman" w:eastAsia="Times New Roman" w:hAnsi="Times New Roman"/>
                <w:sz w:val="20"/>
                <w:szCs w:val="20"/>
                <w:color w:val="auto"/>
                <w:w w:val="97"/>
              </w:rPr>
              <w:t>54.7</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21"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color w:val="auto"/>
        </w:rPr>
        <w:t>Page 5 of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LIQUIDITY AND CAPITAL RESOURCES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June 30, 2024:</w:t>
      </w:r>
    </w:p>
    <w:p>
      <w:pPr>
        <w:spacing w:after="0" w:line="200" w:lineRule="exact"/>
        <w:rPr>
          <w:sz w:val="20"/>
          <w:szCs w:val="20"/>
          <w:color w:val="auto"/>
        </w:rPr>
      </w:pPr>
    </w:p>
    <w:p>
      <w:pPr>
        <w:spacing w:after="0" w:line="245"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Angi Inc. had 500.2 million Class A and Class B common shares outstanding.</w:t>
      </w:r>
    </w:p>
    <w:p>
      <w:pPr>
        <w:spacing w:after="0" w:line="187" w:lineRule="exact"/>
        <w:rPr>
          <w:rFonts w:ascii="Arial" w:cs="Arial" w:eastAsia="Arial" w:hAnsi="Arial"/>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IAC’s economic interest in Angi Inc. was 84.9% and IAC’s voting interest in Angi Inc. was 98.2%.</w:t>
      </w:r>
    </w:p>
    <w:p>
      <w:pPr>
        <w:spacing w:after="0" w:line="165" w:lineRule="exact"/>
        <w:rPr>
          <w:rFonts w:ascii="Times New Roman" w:cs="Times New Roman" w:eastAsia="Times New Roman" w:hAnsi="Times New Roman"/>
          <w:sz w:val="22"/>
          <w:szCs w:val="22"/>
          <w:color w:val="auto"/>
        </w:rPr>
      </w:pPr>
    </w:p>
    <w:p>
      <w:pPr>
        <w:ind w:left="660" w:right="20" w:hanging="328"/>
        <w:spacing w:after="0" w:line="339"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Angi Inc. had $385 million in cash and cash equivalents and $500 million of debt (due August 15, 2028), which was held at ANGI Group, LLC (a subsidiary of Angi Inc.).</w:t>
      </w:r>
    </w:p>
    <w:p>
      <w:pPr>
        <w:spacing w:after="0" w:line="200" w:lineRule="exact"/>
        <w:rPr>
          <w:sz w:val="20"/>
          <w:szCs w:val="20"/>
          <w:color w:val="auto"/>
        </w:rPr>
      </w:pPr>
    </w:p>
    <w:p>
      <w:pPr>
        <w:spacing w:after="0" w:line="203" w:lineRule="exact"/>
        <w:rPr>
          <w:sz w:val="20"/>
          <w:szCs w:val="20"/>
          <w:color w:val="auto"/>
        </w:rPr>
      </w:pPr>
    </w:p>
    <w:p>
      <w:pPr>
        <w:jc w:val="both"/>
        <w:ind w:right="20"/>
        <w:spacing w:after="0" w:line="339" w:lineRule="auto"/>
        <w:rPr>
          <w:sz w:val="20"/>
          <w:szCs w:val="20"/>
          <w:color w:val="auto"/>
        </w:rPr>
      </w:pPr>
      <w:r>
        <w:rPr>
          <w:rFonts w:ascii="Times New Roman" w:cs="Times New Roman" w:eastAsia="Times New Roman" w:hAnsi="Times New Roman"/>
          <w:sz w:val="20"/>
          <w:szCs w:val="20"/>
          <w:color w:val="auto"/>
        </w:rPr>
        <w:t>Between May 3, 2024 and August 2, 2024, Angi Inc. repurchased 4.1 million common shares for an aggregate of $8.6 million (average share price of $2.11 per share).</w:t>
      </w:r>
    </w:p>
    <w:p>
      <w:pPr>
        <w:spacing w:after="0" w:line="200" w:lineRule="exact"/>
        <w:rPr>
          <w:sz w:val="20"/>
          <w:szCs w:val="20"/>
          <w:color w:val="auto"/>
        </w:rPr>
      </w:pPr>
    </w:p>
    <w:p>
      <w:pPr>
        <w:spacing w:after="0" w:line="338"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20"/>
          <w:szCs w:val="20"/>
          <w:color w:val="auto"/>
        </w:rPr>
        <w:t>During the fourth quarter of 2023, Angi Inc. announced its intent to utilize the remaining 14.0 million shares in its stock repurchase authorization. As of August 2, 2024, Angi Inc. had 0.6 million shares remaining in its previous stock repurchase authorization, pursuant to which share repurchases can be made over an indefinite period of time in the open market and in privately negotiated transactions, depending on those factors management deems relevant at any particular time, including, without limitation, market conditions, share price and future outlook.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August 2, 2024, the Angi Board of Directors approved a new stock repurchase authorization of 25 million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CONFERENCE CALL</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IAC and Angi Inc. will host a conference call to answer questions regarding their second quarter results on Wednesday, August 7, 2024, at 8:30 a.m.</w:t>
      </w:r>
    </w:p>
    <w:p>
      <w:pPr>
        <w:spacing w:after="0" w:line="3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Eastern Time. This conference call will include the disclosure of certain information, including forward-looking information, which may be material to an investor’s understanding of IAC’s and Angi Inc.’s businesses. The conference call will be open to the public at </w:t>
      </w:r>
      <w:r>
        <w:rPr>
          <w:rFonts w:ascii="Times New Roman" w:cs="Times New Roman" w:eastAsia="Times New Roman" w:hAnsi="Times New Roman"/>
          <w:sz w:val="18"/>
          <w:szCs w:val="18"/>
          <w:color w:val="0000FF"/>
        </w:rPr>
        <w:t>ir.angi.com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0000FF"/>
        </w:rPr>
        <w:t>ir.iac.com.</w:t>
      </w:r>
    </w:p>
    <w:p>
      <w:pPr>
        <w:sectPr>
          <w:pgSz w:w="11900" w:h="16838" w:orient="portrait"/>
          <w:cols w:equalWidth="0" w:num="1">
            <w:col w:w="11240"/>
          </w:cols>
          <w:pgMar w:left="320" w:top="121"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t>Page 6 of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DILUTIVE SECURITIES</w:t>
      </w:r>
    </w:p>
    <w:p>
      <w:pPr>
        <w:spacing w:after="0" w:line="346" w:lineRule="exact"/>
        <w:rPr>
          <w:sz w:val="20"/>
          <w:szCs w:val="20"/>
          <w:color w:val="auto"/>
        </w:rPr>
      </w:pPr>
    </w:p>
    <w:p>
      <w:pPr>
        <w:ind w:right="380"/>
        <w:spacing w:after="0" w:line="344" w:lineRule="auto"/>
        <w:rPr>
          <w:sz w:val="20"/>
          <w:szCs w:val="20"/>
          <w:color w:val="auto"/>
        </w:rPr>
      </w:pPr>
      <w:r>
        <w:rPr>
          <w:rFonts w:ascii="Times New Roman" w:cs="Times New Roman" w:eastAsia="Times New Roman" w:hAnsi="Times New Roman"/>
          <w:sz w:val="18"/>
          <w:szCs w:val="18"/>
          <w:color w:val="auto"/>
        </w:rPr>
        <w:t>Angi Inc. has various dilutive securities. The table below details these securities as well as potential dilution at various stock prices (shares in millions; rounding differences may occur).</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Avg.</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8"/>
        </w:trPr>
        <w:tc>
          <w:tcPr>
            <w:tcW w:w="3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0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0"/>
        </w:trPr>
        <w:tc>
          <w:tcPr>
            <w:tcW w:w="3860" w:type="dxa"/>
            <w:vAlign w:val="bottom"/>
          </w:tcPr>
          <w:p>
            <w:pPr>
              <w:spacing w:after="0"/>
              <w:rPr>
                <w:sz w:val="23"/>
                <w:szCs w:val="23"/>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3"/>
                <w:szCs w:val="23"/>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00" w:type="dxa"/>
            <w:vAlign w:val="bottom"/>
          </w:tcPr>
          <w:p>
            <w:pPr>
              <w:spacing w:after="0"/>
              <w:rPr>
                <w:sz w:val="23"/>
                <w:szCs w:val="23"/>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8/2/24</w:t>
            </w: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0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Dilution At:</w:t>
            </w: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
        </w:trPr>
        <w:tc>
          <w:tcPr>
            <w:tcW w:w="38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0"/>
        </w:trPr>
        <w:tc>
          <w:tcPr>
            <w:tcW w:w="38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Price</w:t>
            </w: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3.00</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4.00</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5.00</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6.00</w:t>
            </w:r>
          </w:p>
        </w:tc>
      </w:tr>
      <w:tr>
        <w:trPr>
          <w:trHeight w:val="270"/>
        </w:trPr>
        <w:tc>
          <w:tcPr>
            <w:tcW w:w="38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Absolute Shares as of 8/2/24</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498.7</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498.7</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498.7</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498.7</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498.7</w:t>
            </w:r>
          </w:p>
        </w:tc>
      </w:tr>
      <w:tr>
        <w:trPr>
          <w:trHeight w:val="270"/>
        </w:trPr>
        <w:tc>
          <w:tcPr>
            <w:tcW w:w="38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SARs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and subsidiary denominated equity awards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7.4</w:t>
            </w:r>
          </w:p>
        </w:tc>
        <w:tc>
          <w:tcPr>
            <w:tcW w:w="2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7.2</w:t>
            </w: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7.1</w:t>
            </w: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w:t>
            </w:r>
          </w:p>
        </w:tc>
      </w:tr>
      <w:tr>
        <w:trPr>
          <w:trHeight w:val="237"/>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Dilution</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7.4</w:t>
            </w:r>
          </w:p>
        </w:tc>
        <w:tc>
          <w:tcPr>
            <w:tcW w:w="2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7.3</w:t>
            </w:r>
          </w:p>
        </w:tc>
        <w:tc>
          <w:tcPr>
            <w:tcW w:w="2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7.2</w:t>
            </w: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7.2</w:t>
            </w: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7.2</w:t>
            </w:r>
          </w:p>
        </w:tc>
      </w:tr>
      <w:tr>
        <w:trPr>
          <w:trHeight w:val="27"/>
        </w:trPr>
        <w:tc>
          <w:tcPr>
            <w:tcW w:w="3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Dilution</w:t>
            </w: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1.4 %</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Diluted Shares Outstanding</w:t>
            </w: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506.1</w:t>
            </w:r>
          </w:p>
        </w:tc>
        <w:tc>
          <w:tcPr>
            <w:tcW w:w="280" w:type="dxa"/>
            <w:vAlign w:val="bottom"/>
          </w:tcPr>
          <w:p>
            <w:pPr>
              <w:spacing w:after="0"/>
              <w:rPr>
                <w:sz w:val="21"/>
                <w:szCs w:val="21"/>
                <w:color w:val="auto"/>
              </w:rPr>
            </w:pP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505.9</w:t>
            </w:r>
          </w:p>
        </w:tc>
        <w:tc>
          <w:tcPr>
            <w:tcW w:w="280" w:type="dxa"/>
            <w:vAlign w:val="bottom"/>
          </w:tcPr>
          <w:p>
            <w:pPr>
              <w:spacing w:after="0"/>
              <w:rPr>
                <w:sz w:val="21"/>
                <w:szCs w:val="21"/>
                <w:color w:val="auto"/>
              </w:rPr>
            </w:pP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505.9</w:t>
            </w:r>
          </w:p>
        </w:tc>
        <w:tc>
          <w:tcPr>
            <w:tcW w:w="28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505.9</w:t>
            </w:r>
          </w:p>
        </w:tc>
        <w:tc>
          <w:tcPr>
            <w:tcW w:w="280" w:type="dxa"/>
            <w:vAlign w:val="bottom"/>
          </w:tcPr>
          <w:p>
            <w:pPr>
              <w:spacing w:after="0"/>
              <w:rPr>
                <w:sz w:val="21"/>
                <w:szCs w:val="21"/>
                <w:color w:val="auto"/>
              </w:rPr>
            </w:pP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505.9</w:t>
            </w:r>
          </w:p>
        </w:tc>
      </w:tr>
      <w:tr>
        <w:trPr>
          <w:trHeight w:val="27"/>
        </w:trPr>
        <w:tc>
          <w:tcPr>
            <w:tcW w:w="3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ind w:right="600"/>
        <w:spacing w:after="0" w:line="344" w:lineRule="auto"/>
        <w:rPr>
          <w:sz w:val="20"/>
          <w:szCs w:val="20"/>
          <w:color w:val="auto"/>
        </w:rPr>
      </w:pPr>
      <w:r>
        <w:rPr>
          <w:rFonts w:ascii="Times New Roman" w:cs="Times New Roman" w:eastAsia="Times New Roman" w:hAnsi="Times New Roman"/>
          <w:sz w:val="18"/>
          <w:szCs w:val="18"/>
          <w:color w:val="auto"/>
        </w:rPr>
        <w:t>The dilutive securities presentation is calculated using the method and assumptions described below, which are different from those used for GAAP dilution, which is calculated based on the treasury stock method.</w:t>
      </w:r>
    </w:p>
    <w:p>
      <w:pPr>
        <w:spacing w:after="0" w:line="190"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auto"/>
        </w:rPr>
        <w:t>The Company currently settles all equity awards on a net basis; therefore, the dilutive effect is presented as the net number of shares expected to be issued upon exercise or vesting, and in the case of options, assuming no proceeds are received by the Company. Any required withholding taxes are paid in cash by the Company on behalf of the employees assuming a withholding tax rate of 50%. In addition, the estimated income tax benefit from the tax deduction received upon the exercise or vesting of these awards is assumed to be used to repurchase Angi Inc. shares. Assuming all awards were exercised or vested on August 2, 2024, withholding taxes paid by the Company on behalf of the employees upon net settlement would have been $27.4 million, assuming a stock price of $2.02 and a 50% withholding rate. The table above assumes no change in the fair value estimate of the non-publicly traded subsidiary denominated equity awards from the values used at June 30, 2024. The number of shares ultimately needed to settle these awards and the cash withholding tax obligation may vary significantly as a result of the determination of the fair value of the relevant subsidiary. In addition, the number of shares required to settle these awards will be impacted by movement in the stock price of ANGI.</w:t>
      </w:r>
    </w:p>
    <w:p>
      <w:pPr>
        <w:sectPr>
          <w:pgSz w:w="11900" w:h="16838" w:orient="portrait"/>
          <w:cols w:equalWidth="0" w:num="1">
            <w:col w:w="11240"/>
          </w:cols>
          <w:pgMar w:left="320" w:top="121"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color w:val="auto"/>
        </w:rPr>
        <w:t>Page 7 of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2360" w:type="dxa"/>
            <w:vAlign w:val="bottom"/>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58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6"/>
        </w:trPr>
        <w:tc>
          <w:tcPr>
            <w:tcW w:w="5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8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600" w:type="dxa"/>
            <w:vAlign w:val="bottom"/>
            <w:tcBorders>
              <w:bottom w:val="single" w:sz="8" w:color="auto"/>
            </w:tcBorders>
            <w:gridSpan w:val="5"/>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6"/>
        </w:trPr>
        <w:tc>
          <w:tcPr>
            <w:tcW w:w="5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
        </w:trPr>
        <w:tc>
          <w:tcPr>
            <w:tcW w:w="5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707,084</w:t>
            </w:r>
          </w:p>
        </w:tc>
      </w:tr>
      <w:tr>
        <w:trPr>
          <w:trHeight w:val="243"/>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revenue (exclusive of depreciation shown separately below)</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31,645</w:t>
            </w:r>
          </w:p>
        </w:tc>
      </w:tr>
      <w:tr>
        <w:trPr>
          <w:trHeight w:val="27"/>
        </w:trPr>
        <w:tc>
          <w:tcPr>
            <w:tcW w:w="5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336,879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593,875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675,439</w:t>
            </w: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7"/>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408,487</w:t>
            </w:r>
          </w:p>
        </w:tc>
      </w:tr>
      <w:tr>
        <w:trPr>
          <w:trHeight w:val="243"/>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189,834</w:t>
            </w:r>
          </w:p>
        </w:tc>
      </w:tr>
      <w:tr>
        <w:trPr>
          <w:trHeight w:val="27"/>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Product development expense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50,861</w:t>
            </w:r>
          </w:p>
        </w:tc>
      </w:tr>
      <w:tr>
        <w:trPr>
          <w:trHeight w:val="243"/>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47,194</w:t>
            </w:r>
          </w:p>
        </w:tc>
      </w:tr>
      <w:tr>
        <w:trPr>
          <w:trHeight w:val="27"/>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w:t>
            </w:r>
          </w:p>
        </w:tc>
      </w:tr>
      <w:tr>
        <w:trPr>
          <w:trHeight w:val="237"/>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291,795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352,260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581,972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701,701</w:t>
            </w:r>
          </w:p>
        </w:tc>
      </w:tr>
      <w:tr>
        <w:trPr>
          <w:trHeight w:val="27"/>
        </w:trPr>
        <w:tc>
          <w:tcPr>
            <w:tcW w:w="5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(26,262)</w:t>
            </w:r>
          </w:p>
        </w:tc>
      </w:tr>
      <w:tr>
        <w:trPr>
          <w:trHeight w:val="243"/>
        </w:trPr>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(10,063)</w:t>
            </w:r>
          </w:p>
        </w:tc>
      </w:tr>
      <w:tr>
        <w:trPr>
          <w:trHeight w:val="27"/>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8,991</w:t>
            </w:r>
          </w:p>
        </w:tc>
      </w:tr>
      <w:tr>
        <w:trPr>
          <w:trHeight w:val="237"/>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from continuing operations before income taxes</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(27,334)</w:t>
            </w:r>
          </w:p>
        </w:tc>
      </w:tr>
      <w:tr>
        <w:trPr>
          <w:trHeight w:val="27"/>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r>
      <w:tr>
        <w:trPr>
          <w:trHeight w:val="237"/>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(loss) from continuing operations</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(29,578)</w:t>
            </w:r>
          </w:p>
        </w:tc>
      </w:tr>
      <w:tr>
        <w:trPr>
          <w:trHeight w:val="27"/>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7"/>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(loss)</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(29,479)</w:t>
            </w:r>
          </w:p>
        </w:tc>
      </w:tr>
      <w:tr>
        <w:trPr>
          <w:trHeight w:val="27"/>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6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(loss) attributable to Angi Inc. shareholders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(30,024)</w:t>
            </w: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5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information from continuing operations:</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43"/>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7"/>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7"/>
        </w:trPr>
        <w:tc>
          <w:tcPr>
            <w:tcW w:w="58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information attributable to Angi Inc. shareholders:</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43"/>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7"/>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6"/>
        </w:trPr>
        <w:tc>
          <w:tcPr>
            <w:tcW w:w="58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Stock-based compensation expense by function:</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r>
      <w:tr>
        <w:trPr>
          <w:trHeight w:val="243"/>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15,167</w:t>
            </w:r>
          </w:p>
        </w:tc>
      </w:tr>
      <w:tr>
        <w:trPr>
          <w:trHeight w:val="27"/>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Product development expense</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w:t>
            </w:r>
          </w:p>
        </w:tc>
      </w:tr>
      <w:tr>
        <w:trPr>
          <w:trHeight w:val="26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18,069</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23,009</w:t>
            </w:r>
          </w:p>
        </w:tc>
      </w:tr>
      <w:tr>
        <w:trPr>
          <w:trHeight w:val="21"/>
        </w:trPr>
        <w:tc>
          <w:tcPr>
            <w:tcW w:w="5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21"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color w:val="auto"/>
        </w:rPr>
        <w:t>Page 8 of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ANGI INC. CONSOLIDATED BALANCE SHEET</w:t>
      </w:r>
    </w:p>
    <w:p>
      <w:pPr>
        <w:spacing w:after="0" w:line="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4570095</wp:posOffset>
            </wp:positionH>
            <wp:positionV relativeFrom="paragraph">
              <wp:posOffset>30480</wp:posOffset>
            </wp:positionV>
            <wp:extent cx="25031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53" w:lineRule="exact"/>
        <w:rPr>
          <w:sz w:val="20"/>
          <w:szCs w:val="20"/>
          <w:color w:val="auto"/>
        </w:rPr>
      </w:pPr>
    </w:p>
    <w:p>
      <w:pPr>
        <w:ind w:left="7600"/>
        <w:spacing w:after="0"/>
        <w:tabs>
          <w:tab w:leader="none" w:pos="9440" w:val="left"/>
        </w:tabs>
        <w:rPr>
          <w:sz w:val="20"/>
          <w:szCs w:val="20"/>
          <w:color w:val="auto"/>
        </w:rPr>
      </w:pPr>
      <w:r>
        <w:rPr>
          <w:rFonts w:ascii="Times New Roman" w:cs="Times New Roman" w:eastAsia="Times New Roman" w:hAnsi="Times New Roman"/>
          <w:sz w:val="16"/>
          <w:szCs w:val="16"/>
          <w:b w:val="1"/>
          <w:bCs w:val="1"/>
          <w:color w:val="auto"/>
        </w:rPr>
        <w:t>June 30, 2024</w:t>
      </w:r>
      <w:r>
        <w:rPr>
          <w:sz w:val="20"/>
          <w:szCs w:val="20"/>
          <w:color w:val="auto"/>
        </w:rPr>
        <w:tab/>
      </w:r>
      <w:r>
        <w:rPr>
          <w:rFonts w:ascii="Times New Roman" w:cs="Times New Roman" w:eastAsia="Times New Roman" w:hAnsi="Times New Roman"/>
          <w:sz w:val="16"/>
          <w:szCs w:val="16"/>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07199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71995" cy="171450"/>
                    </a:xfrm>
                    <a:prstGeom prst="rect">
                      <a:avLst/>
                    </a:prstGeom>
                    <a:noFill/>
                  </pic:spPr>
                </pic:pic>
              </a:graphicData>
            </a:graphic>
          </wp:anchor>
        </w:drawing>
      </w:r>
    </w:p>
    <w:p>
      <w:pPr>
        <w:spacing w:after="0" w:line="3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ASSETS</w:t>
      </w:r>
    </w:p>
    <w:p>
      <w:pPr>
        <w:sectPr>
          <w:pgSz w:w="11900" w:h="16838" w:orient="portrait"/>
          <w:cols w:equalWidth="0" w:num="1">
            <w:col w:w="11180"/>
          </w:cols>
          <w:pgMar w:left="380" w:top="121" w:right="339" w:bottom="1440" w:gutter="0" w:footer="0" w:header="0"/>
        </w:sectPr>
      </w:pP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34290</wp:posOffset>
            </wp:positionV>
            <wp:extent cx="707199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7199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34290</wp:posOffset>
            </wp:positionV>
            <wp:extent cx="7071995" cy="179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71995" cy="179705"/>
                    </a:xfrm>
                    <a:prstGeom prst="rect">
                      <a:avLst/>
                    </a:prstGeom>
                    <a:noFill/>
                  </pic:spPr>
                </pic:pic>
              </a:graphicData>
            </a:graphic>
          </wp:anchor>
        </w:drawing>
      </w:r>
    </w:p>
    <w:p>
      <w:pPr>
        <w:spacing w:after="0" w:line="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171450</wp:posOffset>
            </wp:positionV>
            <wp:extent cx="707199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71995" cy="171450"/>
                    </a:xfrm>
                    <a:prstGeom prst="rect">
                      <a:avLst/>
                    </a:prstGeom>
                    <a:noFill/>
                  </pic:spPr>
                </pic:pic>
              </a:graphicData>
            </a:graphic>
          </wp:anchor>
        </w:drawing>
      </w:r>
    </w:p>
    <w:p>
      <w:pPr>
        <w:spacing w:after="0" w:line="273" w:lineRule="exact"/>
        <w:rPr>
          <w:sz w:val="20"/>
          <w:szCs w:val="20"/>
          <w:color w:val="auto"/>
        </w:rPr>
      </w:pPr>
    </w:p>
    <w:p>
      <w:pPr>
        <w:ind w:left="20" w:right="1720"/>
        <w:spacing w:after="0" w:line="305" w:lineRule="auto"/>
        <w:rPr>
          <w:sz w:val="20"/>
          <w:szCs w:val="20"/>
          <w:color w:val="auto"/>
        </w:rPr>
      </w:pPr>
      <w:r>
        <w:rPr>
          <w:rFonts w:ascii="Times New Roman" w:cs="Times New Roman" w:eastAsia="Times New Roman" w:hAnsi="Times New Roman"/>
          <w:sz w:val="18"/>
          <w:szCs w:val="18"/>
          <w:color w:val="auto"/>
        </w:rPr>
        <w:t>Capitalized software, leasehold improvements and equipment, net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wp:posOffset>
            </wp:positionV>
            <wp:extent cx="707199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71995" cy="1714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Intangible assets, net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34290</wp:posOffset>
            </wp:positionV>
            <wp:extent cx="707199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7199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non-current assets, net</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36830</wp:posOffset>
            </wp:positionV>
            <wp:extent cx="707199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71995" cy="137160"/>
                    </a:xfrm>
                    <a:prstGeom prst="rect">
                      <a:avLst/>
                    </a:prstGeom>
                    <a:noFill/>
                  </pic:spPr>
                </pic:pic>
              </a:graphicData>
            </a:graphic>
          </wp:anchor>
        </w:drawing>
      </w:r>
    </w:p>
    <w:p>
      <w:pPr>
        <w:spacing w:after="0" w:line="259"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36830</wp:posOffset>
            </wp:positionV>
            <wp:extent cx="707199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7199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384,895</w:t>
            </w:r>
          </w:p>
        </w:tc>
        <w:tc>
          <w:tcPr>
            <w:tcW w:w="8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364,044</w:t>
            </w:r>
          </w:p>
        </w:tc>
      </w:tr>
      <w:tr>
        <w:trPr>
          <w:trHeight w:val="270"/>
        </w:trPr>
        <w:tc>
          <w:tcPr>
            <w:tcW w:w="52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66,325</w:t>
            </w:r>
          </w:p>
        </w:tc>
        <w:tc>
          <w:tcPr>
            <w:tcW w:w="8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51,100</w:t>
            </w:r>
          </w:p>
        </w:tc>
      </w:tr>
      <w:tr>
        <w:trPr>
          <w:trHeight w:val="270"/>
        </w:trPr>
        <w:tc>
          <w:tcPr>
            <w:tcW w:w="52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64,861</w:t>
            </w:r>
          </w:p>
        </w:tc>
        <w:tc>
          <w:tcPr>
            <w:tcW w:w="8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72,075</w:t>
            </w:r>
          </w:p>
        </w:tc>
      </w:tr>
      <w:tr>
        <w:trPr>
          <w:trHeight w:val="27"/>
        </w:trPr>
        <w:tc>
          <w:tcPr>
            <w:tcW w:w="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516,081</w:t>
            </w:r>
          </w:p>
        </w:tc>
        <w:tc>
          <w:tcPr>
            <w:tcW w:w="8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487,219</w:t>
            </w:r>
          </w:p>
        </w:tc>
      </w:tr>
      <w:tr>
        <w:trPr>
          <w:trHeight w:val="486"/>
        </w:trPr>
        <w:tc>
          <w:tcPr>
            <w:tcW w:w="520" w:type="dxa"/>
            <w:vAlign w:val="bottom"/>
          </w:tcPr>
          <w:p>
            <w:pPr>
              <w:spacing w:after="0"/>
              <w:rPr>
                <w:sz w:val="24"/>
                <w:szCs w:val="24"/>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89,749</w:t>
            </w:r>
          </w:p>
        </w:tc>
        <w:tc>
          <w:tcPr>
            <w:tcW w:w="8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109,527</w:t>
            </w:r>
          </w:p>
        </w:tc>
      </w:tr>
      <w:tr>
        <w:trPr>
          <w:trHeight w:val="270"/>
        </w:trPr>
        <w:tc>
          <w:tcPr>
            <w:tcW w:w="52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885,034</w:t>
            </w:r>
          </w:p>
        </w:tc>
        <w:tc>
          <w:tcPr>
            <w:tcW w:w="8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886,047</w:t>
            </w:r>
          </w:p>
        </w:tc>
      </w:tr>
      <w:tr>
        <w:trPr>
          <w:trHeight w:val="270"/>
        </w:trPr>
        <w:tc>
          <w:tcPr>
            <w:tcW w:w="52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170,582</w:t>
            </w:r>
          </w:p>
        </w:tc>
        <w:tc>
          <w:tcPr>
            <w:tcW w:w="8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170,773</w:t>
            </w:r>
          </w:p>
        </w:tc>
      </w:tr>
      <w:tr>
        <w:trPr>
          <w:trHeight w:val="270"/>
        </w:trPr>
        <w:tc>
          <w:tcPr>
            <w:tcW w:w="52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147,064</w:t>
            </w:r>
          </w:p>
        </w:tc>
        <w:tc>
          <w:tcPr>
            <w:tcW w:w="8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148,183</w:t>
            </w:r>
          </w:p>
        </w:tc>
      </w:tr>
      <w:tr>
        <w:trPr>
          <w:trHeight w:val="270"/>
        </w:trPr>
        <w:tc>
          <w:tcPr>
            <w:tcW w:w="52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43,955</w:t>
            </w:r>
          </w:p>
        </w:tc>
        <w:tc>
          <w:tcPr>
            <w:tcW w:w="8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54,466</w:t>
            </w:r>
          </w:p>
        </w:tc>
      </w:tr>
      <w:tr>
        <w:trPr>
          <w:trHeight w:val="27"/>
        </w:trPr>
        <w:tc>
          <w:tcPr>
            <w:tcW w:w="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6"/>
        </w:trPr>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1,852,465</w:t>
            </w:r>
          </w:p>
        </w:tc>
        <w:tc>
          <w:tcPr>
            <w:tcW w:w="8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1,856,215</w:t>
            </w:r>
          </w:p>
        </w:tc>
      </w:tr>
      <w:tr>
        <w:trPr>
          <w:trHeight w:val="27"/>
        </w:trPr>
        <w:tc>
          <w:tcPr>
            <w:tcW w:w="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737" w:lineRule="exact"/>
        <w:rPr>
          <w:sz w:val="20"/>
          <w:szCs w:val="20"/>
          <w:color w:val="auto"/>
        </w:rPr>
      </w:pPr>
    </w:p>
    <w:p>
      <w:pPr>
        <w:sectPr>
          <w:pgSz w:w="11900" w:h="16838" w:orient="portrait"/>
          <w:cols w:equalWidth="0" w:num="2">
            <w:col w:w="6480" w:space="720"/>
            <w:col w:w="3980"/>
          </w:cols>
          <w:pgMar w:left="38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20,943</w:t>
            </w:r>
          </w:p>
        </w:tc>
        <w:tc>
          <w:tcPr>
            <w:tcW w:w="7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29,467</w:t>
            </w:r>
          </w:p>
        </w:tc>
      </w:tr>
      <w:tr>
        <w:trPr>
          <w:trHeight w:val="27"/>
        </w:trPr>
        <w:tc>
          <w:tcPr>
            <w:tcW w:w="7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51,295</w:t>
            </w:r>
          </w:p>
        </w:tc>
        <w:tc>
          <w:tcPr>
            <w:tcW w:w="7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49,859</w:t>
            </w:r>
          </w:p>
        </w:tc>
      </w:tr>
      <w:tr>
        <w:trPr>
          <w:trHeight w:val="24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52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188,588</w:t>
            </w:r>
          </w:p>
        </w:tc>
        <w:tc>
          <w:tcPr>
            <w:tcW w:w="7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179,329</w:t>
            </w:r>
          </w:p>
        </w:tc>
      </w:tr>
      <w:tr>
        <w:trPr>
          <w:trHeight w:val="27"/>
        </w:trPr>
        <w:tc>
          <w:tcPr>
            <w:tcW w:w="72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260,826</w:t>
            </w:r>
          </w:p>
        </w:tc>
        <w:tc>
          <w:tcPr>
            <w:tcW w:w="7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258,655</w:t>
            </w:r>
          </w:p>
        </w:tc>
      </w:tr>
      <w:tr>
        <w:trPr>
          <w:trHeight w:val="216"/>
        </w:trPr>
        <w:tc>
          <w:tcPr>
            <w:tcW w:w="7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496,439</w:t>
            </w:r>
          </w:p>
        </w:tc>
        <w:tc>
          <w:tcPr>
            <w:tcW w:w="7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496,047</w:t>
            </w:r>
          </w:p>
        </w:tc>
      </w:tr>
      <w:tr>
        <w:trPr>
          <w:trHeight w:val="24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52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3,297</w:t>
            </w:r>
          </w:p>
        </w:tc>
        <w:tc>
          <w:tcPr>
            <w:tcW w:w="7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w:t>
            </w:r>
          </w:p>
        </w:tc>
      </w:tr>
      <w:tr>
        <w:trPr>
          <w:trHeight w:val="27"/>
        </w:trPr>
        <w:tc>
          <w:tcPr>
            <w:tcW w:w="7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47,766</w:t>
            </w:r>
          </w:p>
        </w:tc>
        <w:tc>
          <w:tcPr>
            <w:tcW w:w="7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54,266</w:t>
            </w:r>
          </w:p>
        </w:tc>
      </w:tr>
      <w:tr>
        <w:trPr>
          <w:trHeight w:val="216"/>
        </w:trPr>
        <w:tc>
          <w:tcPr>
            <w:tcW w:w="7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16"/>
        </w:trPr>
        <w:tc>
          <w:tcPr>
            <w:tcW w:w="7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52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111</w:t>
            </w:r>
          </w:p>
        </w:tc>
        <w:tc>
          <w:tcPr>
            <w:tcW w:w="7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7"/>
        </w:trPr>
        <w:tc>
          <w:tcPr>
            <w:tcW w:w="7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convertible common stock</w:t>
            </w: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422</w:t>
            </w:r>
          </w:p>
        </w:tc>
        <w:tc>
          <w:tcPr>
            <w:tcW w:w="7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4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C common stock</w:t>
            </w:r>
          </w:p>
        </w:tc>
        <w:tc>
          <w:tcPr>
            <w:tcW w:w="52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1,463,370</w:t>
            </w:r>
          </w:p>
        </w:tc>
        <w:tc>
          <w:tcPr>
            <w:tcW w:w="7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1,447,353</w:t>
            </w:r>
          </w:p>
        </w:tc>
      </w:tr>
      <w:tr>
        <w:trPr>
          <w:trHeight w:val="24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5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(228,890)</w:t>
            </w:r>
          </w:p>
        </w:tc>
        <w:tc>
          <w:tcPr>
            <w:tcW w:w="7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(231,019)</w:t>
            </w:r>
          </w:p>
        </w:tc>
      </w:tr>
      <w:tr>
        <w:trPr>
          <w:trHeight w:val="27"/>
        </w:trPr>
        <w:tc>
          <w:tcPr>
            <w:tcW w:w="7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259</w:t>
            </w:r>
          </w:p>
        </w:tc>
        <w:tc>
          <w:tcPr>
            <w:tcW w:w="7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r>
      <w:tr>
        <w:trPr>
          <w:trHeight w:val="24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stock</w:t>
            </w:r>
          </w:p>
        </w:tc>
        <w:tc>
          <w:tcPr>
            <w:tcW w:w="5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(195,467)</w:t>
            </w:r>
          </w:p>
        </w:tc>
        <w:tc>
          <w:tcPr>
            <w:tcW w:w="7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(177,283)</w:t>
            </w:r>
          </w:p>
        </w:tc>
      </w:tr>
      <w:tr>
        <w:trPr>
          <w:trHeight w:val="27"/>
        </w:trPr>
        <w:tc>
          <w:tcPr>
            <w:tcW w:w="72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7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Angi Inc. shareholders’ equity</w:t>
            </w: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1,039,805</w:t>
            </w:r>
          </w:p>
        </w:tc>
        <w:tc>
          <w:tcPr>
            <w:tcW w:w="7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1,040,767</w:t>
            </w:r>
          </w:p>
        </w:tc>
      </w:tr>
      <w:tr>
        <w:trPr>
          <w:trHeight w:val="24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52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4,332</w:t>
            </w:r>
          </w:p>
        </w:tc>
        <w:tc>
          <w:tcPr>
            <w:tcW w:w="7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w:t>
            </w:r>
          </w:p>
        </w:tc>
      </w:tr>
      <w:tr>
        <w:trPr>
          <w:trHeight w:val="27"/>
        </w:trPr>
        <w:tc>
          <w:tcPr>
            <w:tcW w:w="72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3"/>
        </w:trPr>
        <w:tc>
          <w:tcPr>
            <w:tcW w:w="7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5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1,044,137</w:t>
            </w:r>
          </w:p>
        </w:tc>
        <w:tc>
          <w:tcPr>
            <w:tcW w:w="7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1,044,508</w:t>
            </w:r>
          </w:p>
        </w:tc>
      </w:tr>
      <w:tr>
        <w:trPr>
          <w:trHeight w:val="264"/>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1,852,465</w:t>
            </w:r>
          </w:p>
        </w:tc>
        <w:tc>
          <w:tcPr>
            <w:tcW w:w="7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1,856,215</w:t>
            </w:r>
          </w:p>
        </w:tc>
      </w:tr>
      <w:tr>
        <w:trPr>
          <w:trHeight w:val="21"/>
        </w:trPr>
        <w:tc>
          <w:tcPr>
            <w:tcW w:w="7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180"/>
          </w:cols>
          <w:pgMar w:left="380" w:top="121" w:right="339" w:bottom="1440" w:gutter="0" w:footer="0" w:header="0"/>
          <w:type w:val="continuous"/>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color w:val="auto"/>
        </w:rPr>
        <w:t>Page 9 of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ANGI INC. CONSOLIDATED STATEMENT OF CASH FLOWS</w:t>
      </w:r>
    </w:p>
    <w:p>
      <w:pPr>
        <w:spacing w:after="0" w:line="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71151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7"/>
        </w:trPr>
        <w:tc>
          <w:tcPr>
            <w:tcW w:w="80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3"/>
        </w:trPr>
        <w:tc>
          <w:tcPr>
            <w:tcW w:w="8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 attributable to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2,771</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(29,479)</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Earnings from discontinued operations, net of tax</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7"/>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(loss) attributable to continuing operations</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2,771</w:t>
            </w:r>
          </w:p>
        </w:tc>
        <w:tc>
          <w:tcPr>
            <w:tcW w:w="4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(29,578)</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(loss) to net cash provided by operating activities attributable to</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41"/>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48,173</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47,194</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28,883</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44,962</w:t>
            </w:r>
          </w:p>
        </w:tc>
      </w:tr>
      <w:tr>
        <w:trPr>
          <w:trHeight w:val="243"/>
        </w:trPr>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18,069</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23,009</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lease expense (including impairment of right-of-use assets)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12,083</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6,392</w:t>
            </w:r>
          </w:p>
        </w:tc>
      </w:tr>
      <w:tr>
        <w:trPr>
          <w:trHeight w:val="243"/>
        </w:trPr>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1,735</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w:t>
            </w:r>
          </w:p>
        </w:tc>
      </w:tr>
      <w:tr>
        <w:trPr>
          <w:trHeight w:val="243"/>
        </w:trPr>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adjustments, net</w:t>
            </w:r>
          </w:p>
        </w:tc>
        <w:tc>
          <w:tcPr>
            <w:tcW w:w="3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1,064</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 net of effects of acquisitions and dispositions: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(44,340)</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(36,810)</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20,517</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7,204</w:t>
            </w:r>
          </w:p>
        </w:tc>
      </w:tr>
      <w:tr>
        <w:trPr>
          <w:trHeight w:val="243"/>
        </w:trPr>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3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2,461</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20,236</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(9,492)</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(12,282)</w:t>
            </w:r>
          </w:p>
        </w:tc>
      </w:tr>
      <w:tr>
        <w:trPr>
          <w:trHeight w:val="243"/>
        </w:trPr>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taxes payable and receivable</w:t>
            </w:r>
          </w:p>
        </w:tc>
        <w:tc>
          <w:tcPr>
            <w:tcW w:w="3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1,574</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1,490</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w:t>
            </w:r>
          </w:p>
        </w:tc>
      </w:tr>
      <w:tr>
        <w:trPr>
          <w:trHeight w:val="237"/>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 attributable to continuing operations</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84,988</w:t>
            </w:r>
          </w:p>
        </w:tc>
        <w:tc>
          <w:tcPr>
            <w:tcW w:w="4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77,031</w:t>
            </w:r>
          </w:p>
        </w:tc>
      </w:tr>
      <w:tr>
        <w:trPr>
          <w:trHeight w:val="27"/>
        </w:trPr>
        <w:tc>
          <w:tcPr>
            <w:tcW w:w="8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75"/>
        </w:trPr>
        <w:tc>
          <w:tcPr>
            <w:tcW w:w="80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 attributable to continuing operations:</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(25,444)</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(22,315)</w:t>
            </w:r>
          </w:p>
        </w:tc>
      </w:tr>
      <w:tr>
        <w:trPr>
          <w:trHeight w:val="243"/>
        </w:trPr>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of marketable debt securities</w:t>
            </w:r>
          </w:p>
        </w:tc>
        <w:tc>
          <w:tcPr>
            <w:tcW w:w="3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(12,362)</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maturities of marketable debt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r>
      <w:tr>
        <w:trPr>
          <w:trHeight w:val="243"/>
        </w:trPr>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sales of fixed assets</w:t>
            </w:r>
          </w:p>
        </w:tc>
        <w:tc>
          <w:tcPr>
            <w:tcW w:w="3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8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 attributable to continuing operations</w:t>
            </w: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(25,438)</w:t>
            </w: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(22,166)</w:t>
            </w:r>
          </w:p>
        </w:tc>
      </w:tr>
      <w:tr>
        <w:trPr>
          <w:trHeight w:val="74"/>
        </w:trPr>
        <w:tc>
          <w:tcPr>
            <w:tcW w:w="8080" w:type="dxa"/>
            <w:vAlign w:val="bottom"/>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12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160" w:type="dxa"/>
            <w:vAlign w:val="bottom"/>
            <w:tcBorders>
              <w:top w:val="single" w:sz="8" w:color="auto"/>
            </w:tcBorders>
          </w:tcPr>
          <w:p>
            <w:pPr>
              <w:spacing w:after="0"/>
              <w:rPr>
                <w:sz w:val="6"/>
                <w:szCs w:val="6"/>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 attributable to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(18,201)</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Withholding taxes paid on behalf of employees on net settled stock-based awards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w:t>
            </w:r>
          </w:p>
        </w:tc>
      </w:tr>
      <w:tr>
        <w:trPr>
          <w:trHeight w:val="243"/>
        </w:trPr>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Distribution to IAC pursuant to the tax sharing agreement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6"/>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 attributable to continuing operations</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(23,142)</w:t>
            </w:r>
          </w:p>
        </w:tc>
        <w:tc>
          <w:tcPr>
            <w:tcW w:w="4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(7,578)</w:t>
            </w:r>
          </w:p>
        </w:tc>
      </w:tr>
      <w:tr>
        <w:trPr>
          <w:trHeight w:val="27"/>
        </w:trPr>
        <w:tc>
          <w:tcPr>
            <w:tcW w:w="8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75"/>
        </w:trPr>
        <w:tc>
          <w:tcPr>
            <w:tcW w:w="80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provided by continuing operations</w:t>
            </w:r>
          </w:p>
        </w:tc>
        <w:tc>
          <w:tcPr>
            <w:tcW w:w="3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36,408</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47,287</w:t>
            </w:r>
          </w:p>
        </w:tc>
      </w:tr>
      <w:tr>
        <w:trPr>
          <w:trHeight w:val="27"/>
        </w:trPr>
        <w:tc>
          <w:tcPr>
            <w:tcW w:w="8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provided by operating activities attributable to 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43"/>
        </w:trPr>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provided by investing activities attributable to discontinued operations</w:t>
            </w:r>
          </w:p>
        </w:tc>
        <w:tc>
          <w:tcPr>
            <w:tcW w:w="3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7"/>
        </w:trPr>
        <w:tc>
          <w:tcPr>
            <w:tcW w:w="8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provided by 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r>
      <w:tr>
        <w:trPr>
          <w:trHeight w:val="243"/>
        </w:trPr>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7"/>
        </w:trPr>
        <w:tc>
          <w:tcPr>
            <w:tcW w:w="8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 and 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36,201</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48,823</w:t>
            </w:r>
          </w:p>
        </w:tc>
      </w:tr>
      <w:tr>
        <w:trPr>
          <w:trHeight w:val="243"/>
        </w:trPr>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p>
        </w:tc>
        <w:tc>
          <w:tcPr>
            <w:tcW w:w="3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364,301</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322,136</w:t>
            </w:r>
          </w:p>
        </w:tc>
      </w:tr>
      <w:tr>
        <w:trPr>
          <w:trHeight w:val="27"/>
        </w:trPr>
        <w:tc>
          <w:tcPr>
            <w:tcW w:w="8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9"/>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at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400,502</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370,959</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40" w:top="121"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color w:val="auto"/>
        </w:rPr>
        <w:t>Page 10 of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i w:val="1"/>
          <w:iCs w:val="1"/>
          <w:color w:val="auto"/>
        </w:rPr>
        <w:t>RECONCILIATIONS OF GAAP TO NON-GAAP MEASURES</w:t>
      </w:r>
    </w:p>
    <w:p>
      <w:pPr>
        <w:spacing w:after="0" w:line="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i w:val="1"/>
          <w:iCs w:val="1"/>
          <w:color w:val="auto"/>
        </w:rPr>
        <w:t>($ in millions; rounding differences may occur)</w:t>
      </w:r>
    </w:p>
    <w:p>
      <w:pPr>
        <w:spacing w:after="0" w:line="26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RECONCILIATION OF OPERATING INCOME (LOSS) TO ADJUSTED EBITDA</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2024</w:t>
            </w: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7"/>
        </w:trPr>
        <w:tc>
          <w:tcPr>
            <w:tcW w:w="2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4"/>
        </w:trPr>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1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8"/>
        </w:trPr>
        <w:tc>
          <w:tcPr>
            <w:tcW w:w="2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60" w:type="dxa"/>
            <w:vAlign w:val="bottom"/>
          </w:tcPr>
          <w:p>
            <w:pPr>
              <w:spacing w:after="0"/>
              <w:rPr>
                <w:sz w:val="20"/>
                <w:szCs w:val="20"/>
                <w:color w:val="auto"/>
              </w:rPr>
            </w:pPr>
          </w:p>
        </w:tc>
        <w:tc>
          <w:tcPr>
            <w:tcW w:w="182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Adjusted EBITDA</w:t>
            </w:r>
          </w:p>
        </w:tc>
      </w:tr>
      <w:tr>
        <w:trPr>
          <w:trHeight w:val="27"/>
        </w:trPr>
        <w:tc>
          <w:tcPr>
            <w:tcW w:w="2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3"/>
        </w:trPr>
        <w:tc>
          <w:tcPr>
            <w:tcW w:w="2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Ads and Leads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760" w:type="dxa"/>
            <w:vAlign w:val="bottom"/>
            <w:tcBorders>
              <w:bottom w:val="single" w:sz="8" w:color="CCEEFF"/>
            </w:tcBorders>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4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6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7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2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2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36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7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7"/>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Domestic</w:t>
            </w:r>
          </w:p>
        </w:tc>
        <w:tc>
          <w:tcPr>
            <w:tcW w:w="16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7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8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7"/>
        </w:trPr>
        <w:tc>
          <w:tcPr>
            <w:tcW w:w="2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2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7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6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760" w:type="dxa"/>
            <w:vAlign w:val="bottom"/>
            <w:tcBorders>
              <w:top w:val="single" w:sz="8" w:color="auto"/>
              <w:bottom w:val="single" w:sz="8" w:color="auto"/>
            </w:tcBorders>
          </w:tcPr>
          <w:p>
            <w:pPr>
              <w:jc w:val="right"/>
              <w:ind w:right="15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1"/>
        </w:trPr>
        <w:tc>
          <w:tcPr>
            <w:tcW w:w="2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80" w:type="dxa"/>
            <w:vAlign w:val="bottom"/>
            <w:gridSpan w:val="5"/>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2023</w:t>
            </w: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1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4"/>
        </w:trPr>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00" w:type="dxa"/>
            <w:vAlign w:val="bottom"/>
          </w:tcPr>
          <w:p>
            <w:pPr>
              <w:spacing w:after="0"/>
              <w:rPr>
                <w:sz w:val="18"/>
                <w:szCs w:val="18"/>
                <w:color w:val="auto"/>
              </w:rPr>
            </w:pPr>
          </w:p>
        </w:tc>
        <w:tc>
          <w:tcPr>
            <w:tcW w:w="15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Stock-based</w:t>
            </w: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Amortization of</w:t>
            </w: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8"/>
        </w:trPr>
        <w:tc>
          <w:tcPr>
            <w:tcW w:w="1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compensation expense</w:t>
            </w:r>
          </w:p>
        </w:tc>
        <w:tc>
          <w:tcPr>
            <w:tcW w:w="300" w:type="dxa"/>
            <w:vAlign w:val="bottom"/>
          </w:tcPr>
          <w:p>
            <w:pPr>
              <w:spacing w:after="0"/>
              <w:rPr>
                <w:sz w:val="20"/>
                <w:szCs w:val="20"/>
                <w:color w:val="auto"/>
              </w:rPr>
            </w:pPr>
          </w:p>
        </w:tc>
        <w:tc>
          <w:tcPr>
            <w:tcW w:w="15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240" w:type="dxa"/>
            <w:vAlign w:val="bottom"/>
          </w:tcPr>
          <w:p>
            <w:pPr>
              <w:spacing w:after="0"/>
              <w:rPr>
                <w:sz w:val="20"/>
                <w:szCs w:val="20"/>
                <w:color w:val="auto"/>
              </w:rPr>
            </w:pPr>
          </w:p>
        </w:tc>
        <w:tc>
          <w:tcPr>
            <w:tcW w:w="16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intangibles</w:t>
            </w:r>
          </w:p>
        </w:tc>
        <w:tc>
          <w:tcPr>
            <w:tcW w:w="160" w:type="dxa"/>
            <w:vAlign w:val="bottom"/>
          </w:tcPr>
          <w:p>
            <w:pPr>
              <w:spacing w:after="0"/>
              <w:rPr>
                <w:sz w:val="20"/>
                <w:szCs w:val="20"/>
                <w:color w:val="auto"/>
              </w:rPr>
            </w:pPr>
          </w:p>
        </w:tc>
        <w:tc>
          <w:tcPr>
            <w:tcW w:w="17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Adjusted EBITDA</w:t>
            </w:r>
          </w:p>
        </w:tc>
      </w:tr>
      <w:tr>
        <w:trPr>
          <w:trHeight w:val="27"/>
        </w:trPr>
        <w:tc>
          <w:tcPr>
            <w:tcW w:w="1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3"/>
        </w:trPr>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Ads and Leads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43"/>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1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37"/>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Domestic</w:t>
            </w:r>
          </w:p>
        </w:tc>
        <w:tc>
          <w:tcPr>
            <w:tcW w:w="1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3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7"/>
        </w:trPr>
        <w:tc>
          <w:tcPr>
            <w:tcW w:w="1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63"/>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0"/>
        </w:trPr>
        <w:tc>
          <w:tcPr>
            <w:tcW w:w="1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6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w:t>
            </w: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7"/>
        </w:trPr>
        <w:tc>
          <w:tcPr>
            <w:tcW w:w="2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14"/>
        </w:trPr>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1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8"/>
        </w:trPr>
        <w:tc>
          <w:tcPr>
            <w:tcW w:w="2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60" w:type="dxa"/>
            <w:vAlign w:val="bottom"/>
          </w:tcPr>
          <w:p>
            <w:pPr>
              <w:spacing w:after="0"/>
              <w:rPr>
                <w:sz w:val="20"/>
                <w:szCs w:val="20"/>
                <w:color w:val="auto"/>
              </w:rPr>
            </w:pPr>
          </w:p>
        </w:tc>
        <w:tc>
          <w:tcPr>
            <w:tcW w:w="202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Adjusted EBITDA</w:t>
            </w:r>
          </w:p>
        </w:tc>
      </w:tr>
      <w:tr>
        <w:trPr>
          <w:trHeight w:val="27"/>
        </w:trPr>
        <w:tc>
          <w:tcPr>
            <w:tcW w:w="2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3"/>
        </w:trPr>
        <w:tc>
          <w:tcPr>
            <w:tcW w:w="2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Ads and Leads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740" w:type="dxa"/>
            <w:vAlign w:val="bottom"/>
            <w:tcBorders>
              <w:bottom w:val="single" w:sz="8" w:color="CCEEFF"/>
            </w:tcBorders>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r>
      <w:tr>
        <w:trPr>
          <w:trHeight w:val="24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7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2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2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4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7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37"/>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Domestic</w:t>
            </w:r>
          </w:p>
        </w:tc>
        <w:tc>
          <w:tcPr>
            <w:tcW w:w="14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7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8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7"/>
        </w:trPr>
        <w:tc>
          <w:tcPr>
            <w:tcW w:w="2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2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7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6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740" w:type="dxa"/>
            <w:vAlign w:val="bottom"/>
            <w:tcBorders>
              <w:top w:val="single" w:sz="8" w:color="auto"/>
              <w:bottom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0"/>
        </w:trPr>
        <w:tc>
          <w:tcPr>
            <w:tcW w:w="2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1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0" w:type="dxa"/>
            <w:vAlign w:val="bottom"/>
            <w:gridSpan w:val="5"/>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2023</w:t>
            </w: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7"/>
        </w:trPr>
        <w:tc>
          <w:tcPr>
            <w:tcW w:w="1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4"/>
        </w:trPr>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tcPr>
          <w:p>
            <w:pPr>
              <w:spacing w:after="0"/>
              <w:rPr>
                <w:sz w:val="18"/>
                <w:szCs w:val="18"/>
                <w:color w:val="auto"/>
              </w:rPr>
            </w:pPr>
          </w:p>
        </w:tc>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Stock-based</w:t>
            </w: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Amortization of</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8"/>
        </w:trPr>
        <w:tc>
          <w:tcPr>
            <w:tcW w:w="1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compensation expense</w:t>
            </w:r>
          </w:p>
        </w:tc>
        <w:tc>
          <w:tcPr>
            <w:tcW w:w="300" w:type="dxa"/>
            <w:vAlign w:val="bottom"/>
          </w:tcPr>
          <w:p>
            <w:pPr>
              <w:spacing w:after="0"/>
              <w:rPr>
                <w:sz w:val="20"/>
                <w:szCs w:val="20"/>
                <w:color w:val="auto"/>
              </w:rPr>
            </w:pPr>
          </w:p>
        </w:tc>
        <w:tc>
          <w:tcPr>
            <w:tcW w:w="15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240" w:type="dxa"/>
            <w:vAlign w:val="bottom"/>
          </w:tcPr>
          <w:p>
            <w:pPr>
              <w:spacing w:after="0"/>
              <w:rPr>
                <w:sz w:val="20"/>
                <w:szCs w:val="20"/>
                <w:color w:val="auto"/>
              </w:rPr>
            </w:pPr>
          </w:p>
        </w:tc>
        <w:tc>
          <w:tcPr>
            <w:tcW w:w="16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intangibles</w:t>
            </w:r>
          </w:p>
        </w:tc>
        <w:tc>
          <w:tcPr>
            <w:tcW w:w="200" w:type="dxa"/>
            <w:vAlign w:val="bottom"/>
          </w:tcPr>
          <w:p>
            <w:pPr>
              <w:spacing w:after="0"/>
              <w:rPr>
                <w:sz w:val="20"/>
                <w:szCs w:val="20"/>
                <w:color w:val="auto"/>
              </w:rPr>
            </w:pPr>
          </w:p>
        </w:tc>
        <w:tc>
          <w:tcPr>
            <w:tcW w:w="16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Adjusted EBITDA</w:t>
            </w:r>
          </w:p>
        </w:tc>
      </w:tr>
      <w:tr>
        <w:trPr>
          <w:trHeight w:val="27"/>
        </w:trPr>
        <w:tc>
          <w:tcPr>
            <w:tcW w:w="1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1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Ads and Leads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43"/>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1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1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36"/>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Domestic</w:t>
            </w:r>
          </w:p>
        </w:tc>
        <w:tc>
          <w:tcPr>
            <w:tcW w:w="1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3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7"/>
        </w:trPr>
        <w:tc>
          <w:tcPr>
            <w:tcW w:w="1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1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64"/>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0"/>
        </w:trPr>
        <w:tc>
          <w:tcPr>
            <w:tcW w:w="1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180"/>
          </w:cols>
          <w:pgMar w:left="380" w:top="121"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color w:val="auto"/>
        </w:rPr>
        <w:t>Page 11 of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FY 2024 OPERATING (LOSS) INCOME TO ADJUSTED EBITDA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208280</wp:posOffset>
            </wp:positionV>
            <wp:extent cx="11398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in millions)</w:t>
            </w:r>
          </w:p>
        </w:tc>
        <w:tc>
          <w:tcPr>
            <w:tcW w:w="1800" w:type="dxa"/>
            <w:vAlign w:val="bottom"/>
          </w:tcPr>
          <w:p>
            <w:pPr>
              <w:jc w:val="right"/>
              <w:ind w:right="461"/>
              <w:spacing w:after="0"/>
              <w:rPr>
                <w:sz w:val="20"/>
                <w:szCs w:val="20"/>
                <w:color w:val="auto"/>
              </w:rPr>
            </w:pPr>
            <w:r>
              <w:rPr>
                <w:rFonts w:ascii="Times New Roman" w:cs="Times New Roman" w:eastAsia="Times New Roman" w:hAnsi="Times New Roman"/>
                <w:sz w:val="20"/>
                <w:szCs w:val="20"/>
                <w:b w:val="1"/>
                <w:bCs w:val="1"/>
                <w:color w:val="auto"/>
              </w:rPr>
              <w:t>FY 2024</w:t>
            </w:r>
          </w:p>
        </w:tc>
        <w:tc>
          <w:tcPr>
            <w:tcW w:w="0" w:type="dxa"/>
            <w:vAlign w:val="bottom"/>
          </w:tcPr>
          <w:p>
            <w:pPr>
              <w:spacing w:after="0"/>
              <w:rPr>
                <w:sz w:val="1"/>
                <w:szCs w:val="1"/>
                <w:color w:val="auto"/>
              </w:rPr>
            </w:pPr>
          </w:p>
        </w:tc>
      </w:tr>
      <w:tr>
        <w:trPr>
          <w:trHeight w:val="262"/>
        </w:trPr>
        <w:tc>
          <w:tcPr>
            <w:tcW w:w="7800" w:type="dxa"/>
            <w:vAlign w:val="bottom"/>
            <w:vMerge w:val="continue"/>
          </w:tcPr>
          <w:p>
            <w:pPr>
              <w:spacing w:after="0"/>
              <w:rPr>
                <w:sz w:val="22"/>
                <w:szCs w:val="22"/>
                <w:color w:val="auto"/>
              </w:rPr>
            </w:pPr>
          </w:p>
        </w:tc>
        <w:tc>
          <w:tcPr>
            <w:tcW w:w="1800" w:type="dxa"/>
            <w:vAlign w:val="bottom"/>
          </w:tcPr>
          <w:p>
            <w:pPr>
              <w:jc w:val="right"/>
              <w:ind w:right="461"/>
              <w:spacing w:after="0"/>
              <w:rPr>
                <w:sz w:val="20"/>
                <w:szCs w:val="20"/>
                <w:color w:val="auto"/>
              </w:rPr>
            </w:pPr>
            <w:r>
              <w:rPr>
                <w:rFonts w:ascii="Times New Roman" w:cs="Times New Roman" w:eastAsia="Times New Roman" w:hAnsi="Times New Roman"/>
                <w:sz w:val="20"/>
                <w:szCs w:val="20"/>
                <w:b w:val="1"/>
                <w:bCs w:val="1"/>
                <w:color w:val="auto"/>
              </w:rPr>
              <w:t>Outlook</w:t>
            </w:r>
          </w:p>
        </w:tc>
        <w:tc>
          <w:tcPr>
            <w:tcW w:w="0" w:type="dxa"/>
            <w:vAlign w:val="bottom"/>
          </w:tcPr>
          <w:p>
            <w:pPr>
              <w:spacing w:after="0"/>
              <w:rPr>
                <w:sz w:val="1"/>
                <w:szCs w:val="1"/>
                <w:color w:val="auto"/>
              </w:rPr>
            </w:pPr>
          </w:p>
        </w:tc>
      </w:tr>
      <w:tr>
        <w:trPr>
          <w:trHeight w:val="21"/>
        </w:trPr>
        <w:tc>
          <w:tcPr>
            <w:tcW w:w="78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Operating (loss) income</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($10)-$40</w:t>
            </w:r>
          </w:p>
        </w:tc>
        <w:tc>
          <w:tcPr>
            <w:tcW w:w="0" w:type="dxa"/>
            <w:vAlign w:val="bottom"/>
          </w:tcPr>
          <w:p>
            <w:pPr>
              <w:spacing w:after="0"/>
              <w:rPr>
                <w:sz w:val="1"/>
                <w:szCs w:val="1"/>
                <w:color w:val="auto"/>
              </w:rPr>
            </w:pPr>
          </w:p>
        </w:tc>
      </w:tr>
      <w:tr>
        <w:trPr>
          <w:trHeight w:val="263"/>
        </w:trPr>
        <w:tc>
          <w:tcPr>
            <w:tcW w:w="7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Depreciation</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100-80</w:t>
            </w:r>
          </w:p>
        </w:tc>
        <w:tc>
          <w:tcPr>
            <w:tcW w:w="0" w:type="dxa"/>
            <w:vAlign w:val="bottom"/>
          </w:tcPr>
          <w:p>
            <w:pPr>
              <w:spacing w:after="0"/>
              <w:rPr>
                <w:sz w:val="1"/>
                <w:szCs w:val="1"/>
                <w:color w:val="auto"/>
              </w:rPr>
            </w:pPr>
          </w:p>
        </w:tc>
      </w:tr>
      <w:tr>
        <w:trPr>
          <w:trHeight w:val="34"/>
        </w:trPr>
        <w:tc>
          <w:tcPr>
            <w:tcW w:w="78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7"/>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40-30</w:t>
            </w:r>
          </w:p>
        </w:tc>
        <w:tc>
          <w:tcPr>
            <w:tcW w:w="0" w:type="dxa"/>
            <w:vAlign w:val="bottom"/>
          </w:tcPr>
          <w:p>
            <w:pPr>
              <w:spacing w:after="0"/>
              <w:rPr>
                <w:sz w:val="1"/>
                <w:szCs w:val="1"/>
                <w:color w:val="auto"/>
              </w:rPr>
            </w:pPr>
          </w:p>
        </w:tc>
      </w:tr>
      <w:tr>
        <w:trPr>
          <w:trHeight w:val="287"/>
        </w:trPr>
        <w:tc>
          <w:tcPr>
            <w:tcW w:w="780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Adjusted EBITDA</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$130-$150</w:t>
            </w: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ANGI INC. PRINCIPLES OF FINANCIAL REPORTING</w:t>
      </w:r>
    </w:p>
    <w:p>
      <w:pPr>
        <w:spacing w:after="0" w:line="26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Angi Inc. reports Adjusted EBITDA and Free Cash Flow, which are supplemental measures to U.S. generally accepted accounting principles (“GAAP”). Adjusted EBITDA is considered our primary segment measure of profitability and is one of the metrics, along with Free Cash Flow, by which we evaluate the performance of our businesses and our internal budgets are based and may also impact management compensation. We believe that investors should have access to, and we are obligated to provide, the same set of tools that we use in analyzing our results. These non-GAAP measures should be considered in addition to results prepared in accordance with GAAP but should not be considered a substitute for or superior to GAAP results. Angi Inc. endeavors to compensate for the limitations of the non-GAAP measures presented by providing the comparable GAAP measures with equal or greater prominence and descriptions of the reconciling items, including quantifying such items, to derive the non-GAAP measures. We encourage investors to examine the reconciling adjustments between the GAAP and non-GAAP measures, which are included in this release. Interim results are not necessarily indicative of the results that may be expected for a full year.</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Definitions of Non-GAAP Measures</w:t>
      </w:r>
    </w:p>
    <w:p>
      <w:pPr>
        <w:spacing w:after="0" w:line="200" w:lineRule="exact"/>
        <w:rPr>
          <w:sz w:val="20"/>
          <w:szCs w:val="20"/>
          <w:color w:val="auto"/>
        </w:rPr>
      </w:pPr>
    </w:p>
    <w:p>
      <w:pPr>
        <w:spacing w:after="0" w:line="28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u w:val="single" w:color="auto"/>
          <w:color w:val="auto"/>
        </w:rPr>
        <w:t>Adjusted Earnings Before Interest, Taxes, Depreciation and Amortization (Adjusted EBITDA)</w:t>
      </w:r>
      <w:r>
        <w:rPr>
          <w:rFonts w:ascii="Times New Roman" w:cs="Times New Roman" w:eastAsia="Times New Roman" w:hAnsi="Times New Roman"/>
          <w:sz w:val="18"/>
          <w:szCs w:val="18"/>
          <w:color w:val="auto"/>
        </w:rPr>
        <w:t xml:space="preserve"> is defined as operating income excluding: (1) stock-based compensation expense; (2) depreciation; and (3) acquisition-related items consisting of amortization of intangible assets and impairments of goodwill and intangible assets, if applicable. We believe this measure is useful for analysts and investors as this measure allows a more meaningful comparison between our performance and that of our competitors. Adjusted EBITDA has certain limitations because it excludes the impact of these expenses.</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u w:val="single" w:color="auto"/>
          <w:color w:val="auto"/>
        </w:rPr>
        <w:t>Free Cash Flow</w:t>
      </w:r>
      <w:r>
        <w:rPr>
          <w:rFonts w:ascii="Times New Roman" w:cs="Times New Roman" w:eastAsia="Times New Roman" w:hAnsi="Times New Roman"/>
          <w:sz w:val="18"/>
          <w:szCs w:val="18"/>
          <w:color w:val="auto"/>
        </w:rPr>
        <w:t xml:space="preserve"> is defined as net cash provided by operating activities attributable to continuing operations, less capital expenditures. We believe Free Cash Flow is useful to analysts and investors because it represents the cash that our operating businesses generate, before taking into account non-operational cash movements. Free Cash Flow has certain limitations in that it does not represent the total increase or decrease in the cash balance for the period, nor does it represent the residual cash flow for discretionary expenditures. For example, it does not take into account mandatory debt service requirements. Therefore, we think it is important to evaluate Free Cash Flow along with our consolidated statement of cash flows.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Non-Cash Expenses That Are Excluded from Adjusted EBITDA</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u w:val="single" w:color="auto"/>
          <w:color w:val="auto"/>
        </w:rPr>
        <w:t>Stock-based compensation expense</w:t>
      </w:r>
      <w:r>
        <w:rPr>
          <w:rFonts w:ascii="Times New Roman" w:cs="Times New Roman" w:eastAsia="Times New Roman" w:hAnsi="Times New Roman"/>
          <w:sz w:val="18"/>
          <w:szCs w:val="18"/>
          <w:color w:val="auto"/>
        </w:rPr>
        <w:t xml:space="preserve"> consists of expense associated with the grants, including unvested grants assumed in acquisitions, of stock appreciation rights (SARs), restricted stock units (RSUs), stock options and performance-based RSUs and market-based awards. These expenses are not paid in cash, and we view the economic costs of stock-based awards to be the dilution to our share base; we also include the related shares in our fully diluted shares outstanding for GAAP earnings per share using the treasury stock method. Performance-based RSUs and market-based awards are</w:t>
      </w:r>
    </w:p>
    <w:p>
      <w:pPr>
        <w:sectPr>
          <w:pgSz w:w="11900" w:h="16838" w:orient="portrait"/>
          <w:cols w:equalWidth="0" w:num="1">
            <w:col w:w="11240"/>
          </w:cols>
          <w:pgMar w:left="320" w:top="121"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color w:val="auto"/>
        </w:rPr>
        <w:t>Page 12 of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included only to the extent the applicable performance or market condition(s) have been met (assuming the end of the reporting period is the end of the contingency period). The Company is currently settling all stock-based awards on a net basis and remits the required tax-withholding amounts from its current funds.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see page </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color w:val="auto"/>
        </w:rPr>
        <w:t xml:space="preserve"> for a summary of our dilutive securities as of August 2, 2024, and a description of the calculation methodology.</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u w:val="single" w:color="auto"/>
          <w:color w:val="auto"/>
        </w:rPr>
        <w:t>Depreciation</w:t>
      </w:r>
      <w:r>
        <w:rPr>
          <w:rFonts w:ascii="Times New Roman" w:cs="Times New Roman" w:eastAsia="Times New Roman" w:hAnsi="Times New Roman"/>
          <w:sz w:val="18"/>
          <w:szCs w:val="18"/>
          <w:color w:val="auto"/>
        </w:rPr>
        <w:t xml:space="preserve"> is a non-cash expense relating to our capitalized software, leasehold improvements and equipment and is computed using the straight-line method to allocate the cost of depreciable assets to operations over their estimated useful lives, or, in the case of leasehold improvements, the lease term, if shorter.</w:t>
      </w:r>
    </w:p>
    <w:p>
      <w:pPr>
        <w:spacing w:after="0" w:line="19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u w:val="single" w:color="auto"/>
          <w:color w:val="auto"/>
        </w:rPr>
        <w:t>Amortization of intangible assets and impairments of goodwill and intangible assets</w:t>
      </w:r>
      <w:r>
        <w:rPr>
          <w:rFonts w:ascii="Times New Roman" w:cs="Times New Roman" w:eastAsia="Times New Roman" w:hAnsi="Times New Roman"/>
          <w:sz w:val="18"/>
          <w:szCs w:val="18"/>
          <w:color w:val="auto"/>
        </w:rPr>
        <w:t xml:space="preserve"> are non-cash expenses related primarily to acquisitions. At the time of an acquisition, the identifiable definite-lived intangible assets of the acquired company, such as service professional relationships, technology and trade names, are valued and amortized over their estimated lives. Value is also assigned to acquired indefinite-lived intangible assets, which comprise trade names and trademarks, and goodwill that are not subject to amortization. An impairment is recorded when the carrying value of an intangible asset or goodwill exceeds its fair value. We believe that intangible assets represent costs incurred by the acquired company to build value prior to acquisition and the related amortization and impairments of intangible assets or goodwill, if applicable, are not ongoing costs of doing business.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Metric Definitions</w:t>
      </w:r>
    </w:p>
    <w:p>
      <w:pPr>
        <w:spacing w:after="0" w:line="23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7"/>
          <w:szCs w:val="17"/>
          <w:b w:val="1"/>
          <w:bCs w:val="1"/>
          <w:color w:val="auto"/>
        </w:rPr>
        <w:t xml:space="preserve">Ads and Leads Revenue </w:t>
      </w:r>
      <w:r>
        <w:rPr>
          <w:rFonts w:ascii="Times New Roman" w:cs="Times New Roman" w:eastAsia="Times New Roman" w:hAnsi="Times New Roman"/>
          <w:sz w:val="17"/>
          <w:szCs w:val="17"/>
          <w:color w:val="auto"/>
        </w:rPr>
        <w:t>- Primarily comprises domestic revenue from consumer connection revenue for consumer matches, revenue from service professionals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 contract for advertising and membership subscription revenue from service professionals and consumers.</w:t>
      </w:r>
    </w:p>
    <w:p>
      <w:pPr>
        <w:spacing w:after="0" w:line="169"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Services Revenue </w:t>
      </w:r>
      <w:r>
        <w:rPr>
          <w:rFonts w:ascii="Times New Roman" w:cs="Times New Roman" w:eastAsia="Times New Roman" w:hAnsi="Times New Roman"/>
          <w:sz w:val="17"/>
          <w:szCs w:val="17"/>
          <w:color w:val="auto"/>
        </w:rPr>
        <w:t>– Primarily comprises domestic revenue from pre-priced offerings by which the consumer requests services through a Company platform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connects them with a service professional to perform the service.</w:t>
      </w:r>
    </w:p>
    <w:p>
      <w:pPr>
        <w:spacing w:after="0" w:line="183"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International Revenue </w:t>
      </w:r>
      <w:r>
        <w:rPr>
          <w:rFonts w:ascii="Times New Roman" w:cs="Times New Roman" w:eastAsia="Times New Roman" w:hAnsi="Times New Roman"/>
          <w:sz w:val="17"/>
          <w:szCs w:val="17"/>
          <w:color w:val="auto"/>
        </w:rPr>
        <w:t>– Primarily comprises revenue generated within the International segment (consisting of businesses in Europe and Canada), including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consumer connection revenue for consumer matches and membership subscription revenue from service professionals and consumers.</w:t>
      </w:r>
    </w:p>
    <w:p>
      <w:pPr>
        <w:spacing w:after="0" w:line="18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7"/>
          <w:szCs w:val="17"/>
          <w:b w:val="1"/>
          <w:bCs w:val="1"/>
          <w:color w:val="auto"/>
        </w:rPr>
        <w:t xml:space="preserve">Corporate </w:t>
      </w:r>
      <w:r>
        <w:rPr>
          <w:rFonts w:ascii="Times New Roman" w:cs="Times New Roman" w:eastAsia="Times New Roman" w:hAnsi="Times New Roman"/>
          <w:sz w:val="17"/>
          <w:szCs w:val="17"/>
          <w:color w:val="auto"/>
        </w:rPr>
        <w:t>– Reflects costs for corporate initiatives, shared costs, such as executive and public company costs, and other expenses not allocated to the operating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segments.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Metrics</w:t>
      </w:r>
    </w:p>
    <w:p>
      <w:pPr>
        <w:spacing w:after="0" w:line="237" w:lineRule="exact"/>
        <w:rPr>
          <w:sz w:val="20"/>
          <w:szCs w:val="20"/>
          <w:color w:val="auto"/>
        </w:rPr>
      </w:pPr>
    </w:p>
    <w:p>
      <w:pPr>
        <w:jc w:val="both"/>
        <w:ind w:right="200"/>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Service Requests </w:t>
      </w:r>
      <w:r>
        <w:rPr>
          <w:rFonts w:ascii="Times New Roman" w:cs="Times New Roman" w:eastAsia="Times New Roman" w:hAnsi="Times New Roman"/>
          <w:sz w:val="17"/>
          <w:szCs w:val="17"/>
          <w:color w:val="auto"/>
        </w:rPr>
        <w:t>- Reflect (i) fully completed and submitted domestic service requests for connections with Ads and Leads service professionals, (ii) contacts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Ads and Leads service professionals generated via the service professional directory from unique users in unique categories (such that multiple contacts from the same user in the same category in the same day are counted as one Service Request) and (iii) requests to book Services jobs in the period.</w:t>
      </w:r>
    </w:p>
    <w:p>
      <w:pPr>
        <w:spacing w:after="0" w:line="19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7"/>
          <w:szCs w:val="17"/>
          <w:b w:val="1"/>
          <w:bCs w:val="1"/>
          <w:color w:val="auto"/>
        </w:rPr>
        <w:t xml:space="preserve">Monetized Transactions </w:t>
      </w:r>
      <w:r>
        <w:rPr>
          <w:rFonts w:ascii="Times New Roman" w:cs="Times New Roman" w:eastAsia="Times New Roman" w:hAnsi="Times New Roman"/>
          <w:sz w:val="17"/>
          <w:szCs w:val="17"/>
          <w:color w:val="auto"/>
        </w:rPr>
        <w:t>– Reflects (i) Service Requests that are matched to a paying Ads and Leads service professional in the period and (ii) completed and in-process Services jobs in the period; a single Service Request can result in multiple monetized transactions.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Monetized Transactions per Service Request </w:t>
      </w:r>
      <w:r>
        <w:rPr>
          <w:rFonts w:ascii="Times New Roman" w:cs="Times New Roman" w:eastAsia="Times New Roman" w:hAnsi="Times New Roman"/>
          <w:sz w:val="17"/>
          <w:szCs w:val="17"/>
          <w:color w:val="auto"/>
        </w:rPr>
        <w:t>– Monetized Transactions divided by Service Requests.</w:t>
      </w:r>
    </w:p>
    <w:p>
      <w:pPr>
        <w:spacing w:after="0" w:line="23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Transacting Service Professionals </w:t>
      </w:r>
      <w:r>
        <w:rPr>
          <w:rFonts w:ascii="Times New Roman" w:cs="Times New Roman" w:eastAsia="Times New Roman" w:hAnsi="Times New Roman"/>
          <w:sz w:val="17"/>
          <w:szCs w:val="17"/>
          <w:color w:val="auto"/>
        </w:rPr>
        <w:t>– The number of (i) Ads and Leads service professionals that paid for consumer matches or advertising and (ii) Services service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professionals that performed a Services job, during the most recent quarter.</w:t>
      </w:r>
    </w:p>
    <w:p>
      <w:pPr>
        <w:sectPr>
          <w:pgSz w:w="11900" w:h="16838" w:orient="portrait"/>
          <w:cols w:equalWidth="0" w:num="1">
            <w:col w:w="11240"/>
          </w:cols>
          <w:pgMar w:left="320" w:top="121"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color w:val="auto"/>
        </w:rPr>
        <w:t>Page 13 of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i w:val="1"/>
          <w:iCs w:val="1"/>
          <w:color w:val="auto"/>
        </w:rPr>
        <w:t>OTHER INFORMATION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214" w:lineRule="exact"/>
        <w:rPr>
          <w:sz w:val="20"/>
          <w:szCs w:val="20"/>
          <w:color w:val="auto"/>
        </w:rPr>
      </w:pPr>
    </w:p>
    <w:p>
      <w:pPr>
        <w:spacing w:after="0" w:line="195" w:lineRule="exact"/>
        <w:rPr>
          <w:sz w:val="20"/>
          <w:szCs w:val="20"/>
          <w:color w:val="auto"/>
        </w:rPr>
      </w:pPr>
      <w:r>
        <w:rPr>
          <w:rFonts w:ascii="Times New Roman" w:cs="Times New Roman" w:eastAsia="Times New Roman" w:hAnsi="Times New Roman"/>
          <w:sz w:val="17"/>
          <w:szCs w:val="17"/>
          <w:color w:val="auto"/>
        </w:rPr>
        <w:t>This press release and our conference call, which will be held at 8:30 a.m. Eastern Time on Wednesday, August 7, 2024, may contain "forward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looking statements" within the meaning of the Private Securities Litigation Reform Act of 1995. The use of words such as "anticipates," "estimates," "expects," "plans" and "believes," among others, generally identify forward-looking statements. These forward-looking statements include, among others, statements relating to: the Company’s future financial performance, business prospects and strategy, anticipated trends and prospects in the home services industry and other similar matters. Actual results could differ materially from those contained in these forward-looking statements for a variety of reasons, including, among others: (i) the continued migration of the home services market online, (ii) our ability to market our various products and services in a successful and cost-effective manner, (iii) the continued display of links to websites offering our products and services in a prominent manner in search results, (iv) our ability to expand our pre-priced offerings, while balancing the overall mix of service requests and directory services on Angi platforms, (v) our ability to establish and maintain relationships with quality and trustworthy service professionals, (vi) our continued ability to develop and monetize versions of our products and services for mobile and other digital devices, (vii) our ability to access, share and use personal data about consumers, (viii) our continued ability to communicate with consumers and service professionals via e-mail (or other sufficient means), (ix) our ability to continue to generate leads for service professionals given changing requirements applicable to certain communications with consumers, (x) any challenge to the contractor classification or employment status of our service professionals, (xi) our ability to compete, (xii) adverse economic events or trends (particularly those that impact consumer confidence and spending behavior), (xiii) our ability to maintain and/or enhance our various brands, (xiv) our ability to protect our systems, technology and infrastructure from cyberattacks and to protect personal and confidential user information (including credit card information), as well as the impact of cyberattacks experienced by third parties, (xv) the occurrence of data security breaches and/or fraud, (xvi) increased liabilities and costs related to the processing, storage, use and disclosure of personal and confidential user information, (xvii) the integrity, quality, efficiency and scalability of our systems, technology and infrastructures (and those of third parties with whom we do business), (xviii) changes in key personnel,</w:t>
      </w:r>
    </w:p>
    <w:p>
      <w:pPr>
        <w:ind w:right="20" w:firstLine="8"/>
        <w:spacing w:after="0" w:line="194" w:lineRule="exact"/>
        <w:tabs>
          <w:tab w:leader="none" w:pos="37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various risks related to our relationship with IAC, (xx) our ability to generate sufficient cash to service our indebtedness and (xxi) certain risks related to ownership of our Class A common stock. Certain of these and other risks and uncertainties are discussed in Angi Inc.’s filings with the Securities and Exchange Commission. Other unknown or unpredictable factors that could also adversely affect Angi Inc.’s business, financial condition and results of operations may arise from time to time. In light of these risks and uncertainties, these forward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looking statements may not prove to be accurate. Accordingly, you should not place undue reliance on these forward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looking statements, which only reflect the views of Angi Inc.’s management as of the date of this press release. Angi Inc. does not undertake to update these forward-looking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Angi Inc.</w:t>
      </w:r>
    </w:p>
    <w:p>
      <w:pPr>
        <w:spacing w:after="0" w:line="248"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7"/>
          <w:szCs w:val="17"/>
          <w:color w:val="auto"/>
        </w:rPr>
        <w:t>Angi (NASDAQ: ANGI) helps homeowners get home projects done well and helps home service professionals grow their business. We started in 1995 with a simple goal to help people find skilled home pros in their area. Now more than 25 years later, we've evolved to help people with everything from finding, booking and hiring a skilled pro, to researching costs, finding inspiration and discovering project possibilities. With an extensive nationwide network of skilled home pros, Angi has helped more than 150 million people maintain, repair, renovate and improve their homes and has helped hundreds of thousands of small local businesses grow.</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Contact Us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IAC/Angi Inc.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Mark Schneider</w:t>
      </w:r>
    </w:p>
    <w:p>
      <w:pPr>
        <w:spacing w:after="0"/>
        <w:rPr>
          <w:sz w:val="20"/>
          <w:szCs w:val="20"/>
          <w:color w:val="auto"/>
        </w:rPr>
      </w:pPr>
      <w:r>
        <w:rPr>
          <w:rFonts w:ascii="Times New Roman" w:cs="Times New Roman" w:eastAsia="Times New Roman" w:hAnsi="Times New Roman"/>
          <w:sz w:val="17"/>
          <w:szCs w:val="17"/>
          <w:color w:val="auto"/>
        </w:rPr>
        <w:t>(212) 314-7400</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Angi Inc.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Emily Do</w:t>
      </w:r>
    </w:p>
    <w:p>
      <w:pPr>
        <w:spacing w:after="0"/>
        <w:rPr>
          <w:sz w:val="20"/>
          <w:szCs w:val="20"/>
          <w:color w:val="auto"/>
        </w:rPr>
      </w:pPr>
      <w:r>
        <w:rPr>
          <w:rFonts w:ascii="Times New Roman" w:cs="Times New Roman" w:eastAsia="Times New Roman" w:hAnsi="Times New Roman"/>
          <w:sz w:val="17"/>
          <w:szCs w:val="17"/>
          <w:color w:val="auto"/>
        </w:rPr>
        <w:t>(303) 963-8352</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IAC Corporate Communications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Valerie Combs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(212) 314-7251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Angi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3601 Walnut Street, Denver, CO 80205 (303) 963-7200 </w:t>
      </w:r>
      <w:r>
        <w:rPr>
          <w:rFonts w:ascii="Times New Roman" w:cs="Times New Roman" w:eastAsia="Times New Roman" w:hAnsi="Times New Roman"/>
          <w:sz w:val="17"/>
          <w:szCs w:val="17"/>
          <w:color w:val="0000FF"/>
        </w:rPr>
        <w:t>http://www.angi.com</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Roman"/>
      <w:start w:val="1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2024-08-15T05:25:25Z</dcterms:created>
  <dcterms:modified xsi:type="dcterms:W3CDTF">2024-08-15T05:25:25Z</dcterms:modified>
</cp:coreProperties>
</file>